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32"/>
        </w:rPr>
      </w:pPr>
      <w:bookmarkStart w:id="0" w:name="_Toc469849003"/>
      <w:r>
        <w:rPr>
          <w:rFonts w:hint="eastAsia" w:ascii="黑体" w:eastAsia="黑体"/>
          <w:sz w:val="32"/>
          <w:szCs w:val="32"/>
        </w:rPr>
        <w:t>数学学院硕士研究生国家奖学金评选细则</w:t>
      </w:r>
    </w:p>
    <w:p/>
    <w:p>
      <w:pPr>
        <w:spacing w:line="360" w:lineRule="auto"/>
        <w:ind w:firstLine="480" w:firstLineChars="200"/>
        <w:rPr>
          <w:sz w:val="24"/>
        </w:rPr>
      </w:pPr>
      <w:r>
        <w:rPr>
          <w:rFonts w:hint="eastAsia"/>
          <w:sz w:val="24"/>
        </w:rPr>
        <w:t>为发挥科学研究在研究生培养中的主导作用，充分调动研究生的积极性，激发研究生的创新活力，大力推进研究生培养机制改革，提高研究生培养质量，国家从</w:t>
      </w:r>
      <w:r>
        <w:rPr>
          <w:sz w:val="24"/>
        </w:rPr>
        <w:t>2012</w:t>
      </w:r>
      <w:r>
        <w:rPr>
          <w:rFonts w:hint="eastAsia"/>
          <w:sz w:val="24"/>
        </w:rPr>
        <w:t>年起设立研究生国家奖学金。现制定数学学院评选细则。</w:t>
      </w:r>
    </w:p>
    <w:p>
      <w:pPr>
        <w:spacing w:line="360" w:lineRule="auto"/>
        <w:rPr>
          <w:rFonts w:ascii="黑体" w:eastAsia="黑体"/>
          <w:b/>
          <w:sz w:val="24"/>
        </w:rPr>
      </w:pPr>
      <w:r>
        <w:rPr>
          <w:rFonts w:hint="eastAsia" w:ascii="黑体" w:eastAsia="黑体"/>
          <w:b/>
          <w:sz w:val="24"/>
        </w:rPr>
        <w:t>一、评审原则</w:t>
      </w:r>
    </w:p>
    <w:p>
      <w:pPr>
        <w:spacing w:line="360" w:lineRule="auto"/>
        <w:ind w:firstLine="480" w:firstLineChars="200"/>
        <w:rPr>
          <w:rFonts w:ascii="宋体"/>
          <w:sz w:val="24"/>
        </w:rPr>
      </w:pPr>
      <w:r>
        <w:rPr>
          <w:rFonts w:hint="eastAsia" w:ascii="宋体" w:hAnsi="宋体"/>
          <w:sz w:val="24"/>
        </w:rPr>
        <w:t>公平、公正、公开。评审的每个环节都会向学生公开。</w:t>
      </w:r>
    </w:p>
    <w:p>
      <w:pPr>
        <w:spacing w:line="360" w:lineRule="auto"/>
        <w:rPr>
          <w:rFonts w:ascii="黑体" w:eastAsia="黑体"/>
          <w:sz w:val="24"/>
        </w:rPr>
      </w:pPr>
      <w:r>
        <w:rPr>
          <w:rFonts w:hint="eastAsia" w:ascii="黑体" w:eastAsia="黑体"/>
          <w:sz w:val="24"/>
        </w:rPr>
        <w:t>二、评选范围及名额</w:t>
      </w:r>
    </w:p>
    <w:p>
      <w:pPr>
        <w:spacing w:line="360" w:lineRule="auto"/>
        <w:rPr>
          <w:sz w:val="24"/>
        </w:rPr>
      </w:pPr>
      <w:r>
        <w:rPr>
          <w:sz w:val="24"/>
        </w:rPr>
        <w:t>1</w:t>
      </w:r>
      <w:r>
        <w:rPr>
          <w:rFonts w:hint="eastAsia"/>
          <w:sz w:val="24"/>
        </w:rPr>
        <w:t>、全日制二、三年级在校研究生参评。</w:t>
      </w:r>
    </w:p>
    <w:p>
      <w:pPr>
        <w:spacing w:line="360" w:lineRule="auto"/>
        <w:rPr>
          <w:sz w:val="24"/>
        </w:rPr>
      </w:pPr>
      <w:r>
        <w:rPr>
          <w:sz w:val="24"/>
        </w:rPr>
        <w:t>2</w:t>
      </w:r>
      <w:r>
        <w:rPr>
          <w:rFonts w:hint="eastAsia"/>
          <w:sz w:val="24"/>
        </w:rPr>
        <w:t>、数学学院国家奖学金名额分配：根据学校下达的名额按照专业人数比例进行分配。</w:t>
      </w:r>
    </w:p>
    <w:p>
      <w:pPr>
        <w:spacing w:line="360" w:lineRule="auto"/>
        <w:rPr>
          <w:rFonts w:ascii="黑体" w:eastAsia="黑体"/>
          <w:sz w:val="24"/>
        </w:rPr>
      </w:pPr>
      <w:r>
        <w:rPr>
          <w:rFonts w:hint="eastAsia" w:ascii="黑体" w:eastAsia="黑体"/>
          <w:sz w:val="24"/>
        </w:rPr>
        <w:t>三、奖励标准</w:t>
      </w:r>
    </w:p>
    <w:p>
      <w:pPr>
        <w:spacing w:line="360" w:lineRule="auto"/>
        <w:ind w:firstLine="480" w:firstLineChars="200"/>
        <w:rPr>
          <w:sz w:val="24"/>
        </w:rPr>
      </w:pPr>
      <w:r>
        <w:rPr>
          <w:rFonts w:hint="eastAsia"/>
          <w:sz w:val="24"/>
        </w:rPr>
        <w:t>硕士研究生国家奖学金奖励根据国家的标准进行发放。</w:t>
      </w:r>
    </w:p>
    <w:p>
      <w:pPr>
        <w:spacing w:line="360" w:lineRule="auto"/>
        <w:rPr>
          <w:rFonts w:ascii="黑体" w:eastAsia="黑体"/>
          <w:sz w:val="24"/>
        </w:rPr>
      </w:pPr>
      <w:r>
        <w:rPr>
          <w:rFonts w:hint="eastAsia" w:ascii="黑体" w:eastAsia="黑体"/>
          <w:sz w:val="24"/>
        </w:rPr>
        <w:t>四、评选条件</w:t>
      </w:r>
    </w:p>
    <w:p>
      <w:pPr>
        <w:numPr>
          <w:ilvl w:val="0"/>
          <w:numId w:val="1"/>
        </w:numPr>
        <w:spacing w:line="360" w:lineRule="auto"/>
        <w:rPr>
          <w:sz w:val="24"/>
        </w:rPr>
      </w:pPr>
      <w:r>
        <w:rPr>
          <w:rFonts w:hint="eastAsia"/>
          <w:sz w:val="24"/>
        </w:rPr>
        <w:t>热爱社会主义祖国，拥护中国共产党的领导，政治上要求进步，具有较强的社会责任感和团结协作精神；</w:t>
      </w:r>
    </w:p>
    <w:p>
      <w:pPr>
        <w:numPr>
          <w:ilvl w:val="0"/>
          <w:numId w:val="1"/>
        </w:numPr>
        <w:spacing w:line="360" w:lineRule="auto"/>
        <w:rPr>
          <w:sz w:val="24"/>
        </w:rPr>
      </w:pPr>
      <w:r>
        <w:rPr>
          <w:rFonts w:hint="eastAsia"/>
          <w:sz w:val="24"/>
        </w:rPr>
        <w:t>遵守宪法和法律，遵守学校各项规章制度；</w:t>
      </w:r>
    </w:p>
    <w:p>
      <w:pPr>
        <w:numPr>
          <w:ilvl w:val="0"/>
          <w:numId w:val="1"/>
        </w:numPr>
        <w:spacing w:line="360" w:lineRule="auto"/>
        <w:rPr>
          <w:sz w:val="24"/>
        </w:rPr>
      </w:pPr>
      <w:r>
        <w:rPr>
          <w:rFonts w:hint="eastAsia"/>
          <w:sz w:val="24"/>
        </w:rPr>
        <w:t>诚实守信，道德品质优良，心理素质健康；</w:t>
      </w:r>
    </w:p>
    <w:p>
      <w:pPr>
        <w:numPr>
          <w:ilvl w:val="0"/>
          <w:numId w:val="1"/>
        </w:numPr>
        <w:spacing w:line="360" w:lineRule="auto"/>
        <w:rPr>
          <w:sz w:val="24"/>
        </w:rPr>
      </w:pPr>
      <w:r>
        <w:rPr>
          <w:rFonts w:hint="eastAsia"/>
          <w:sz w:val="24"/>
        </w:rPr>
        <w:t>学风端正，学习刻苦，学习成绩优秀（各科成绩平均</w:t>
      </w:r>
      <w:r>
        <w:rPr>
          <w:sz w:val="24"/>
        </w:rPr>
        <w:t>80</w:t>
      </w:r>
      <w:r>
        <w:rPr>
          <w:rFonts w:hint="eastAsia"/>
          <w:sz w:val="24"/>
        </w:rPr>
        <w:t>分及以上，重修通过，成绩最高按</w:t>
      </w:r>
      <w:r>
        <w:rPr>
          <w:sz w:val="24"/>
        </w:rPr>
        <w:t>60</w:t>
      </w:r>
      <w:r>
        <w:rPr>
          <w:rFonts w:hint="eastAsia"/>
          <w:sz w:val="24"/>
        </w:rPr>
        <w:t>分计）；</w:t>
      </w:r>
    </w:p>
    <w:p>
      <w:pPr>
        <w:numPr>
          <w:ilvl w:val="0"/>
          <w:numId w:val="1"/>
        </w:numPr>
        <w:spacing w:line="360" w:lineRule="auto"/>
        <w:rPr>
          <w:sz w:val="24"/>
        </w:rPr>
      </w:pPr>
      <w:r>
        <w:rPr>
          <w:rFonts w:hint="eastAsia"/>
          <w:sz w:val="24"/>
        </w:rPr>
        <w:t>积极参加学术活动，具有较强的学术创新意识，科研成果显著，发展潜力突出。三年级的研究生至少公开发表学术论文一篇（接收函不能作为参评的依据），论文评分标准按照学校下发的《研究生国家奖学金科研评分标准进行评分》，由学院专家进行审核。专业学位研究生按学校文件执行。</w:t>
      </w:r>
    </w:p>
    <w:p>
      <w:pPr>
        <w:spacing w:line="360" w:lineRule="auto"/>
        <w:rPr>
          <w:rFonts w:ascii="黑体" w:eastAsia="黑体"/>
          <w:sz w:val="24"/>
        </w:rPr>
      </w:pPr>
      <w:r>
        <w:rPr>
          <w:rFonts w:hint="eastAsia" w:ascii="黑体" w:eastAsia="黑体"/>
          <w:sz w:val="24"/>
        </w:rPr>
        <w:t>五、工作程序</w:t>
      </w:r>
    </w:p>
    <w:p>
      <w:pPr>
        <w:numPr>
          <w:ilvl w:val="0"/>
          <w:numId w:val="2"/>
        </w:numPr>
        <w:spacing w:line="360" w:lineRule="auto"/>
        <w:rPr>
          <w:sz w:val="24"/>
        </w:rPr>
      </w:pPr>
      <w:r>
        <w:rPr>
          <w:rFonts w:hint="eastAsia"/>
          <w:sz w:val="24"/>
        </w:rPr>
        <w:t>学院成立研究生国家奖学评审委员会。评审委员会主任由学院院长</w:t>
      </w:r>
      <w:r>
        <w:rPr>
          <w:rFonts w:hint="eastAsia"/>
          <w:sz w:val="24"/>
          <w:lang w:val="en-US" w:eastAsia="zh-CN"/>
        </w:rPr>
        <w:t>和党委书记</w:t>
      </w:r>
      <w:r>
        <w:rPr>
          <w:rFonts w:hint="eastAsia"/>
          <w:sz w:val="24"/>
        </w:rPr>
        <w:t>担任，副主任由</w:t>
      </w:r>
      <w:r>
        <w:rPr>
          <w:rFonts w:hint="eastAsia"/>
          <w:sz w:val="24"/>
          <w:lang w:val="en-US" w:eastAsia="zh-CN"/>
        </w:rPr>
        <w:t>主管研究生的副院长</w:t>
      </w:r>
      <w:r>
        <w:rPr>
          <w:rFonts w:hint="eastAsia"/>
          <w:sz w:val="24"/>
        </w:rPr>
        <w:t>担任。评审委员会由</w:t>
      </w:r>
      <w:r>
        <w:rPr>
          <w:rFonts w:hint="eastAsia"/>
          <w:sz w:val="24"/>
          <w:lang w:eastAsia="zh-CN"/>
        </w:rPr>
        <w:t>导师、</w:t>
      </w:r>
      <w:r>
        <w:rPr>
          <w:rFonts w:hint="eastAsia"/>
          <w:sz w:val="24"/>
        </w:rPr>
        <w:t>学术委员会成员、辅导员和学生代表组成（奇数个委员）。评审成员中学生代表不在参选名单当中，并且由参选学生推选。</w:t>
      </w:r>
    </w:p>
    <w:p>
      <w:pPr>
        <w:pStyle w:val="20"/>
        <w:numPr>
          <w:ilvl w:val="0"/>
          <w:numId w:val="2"/>
        </w:numPr>
        <w:spacing w:line="360" w:lineRule="auto"/>
        <w:ind w:firstLineChars="0"/>
        <w:rPr>
          <w:sz w:val="24"/>
        </w:rPr>
      </w:pPr>
      <w:r>
        <w:rPr>
          <w:sz w:val="24"/>
        </w:rPr>
        <w:t>  </w:t>
      </w:r>
      <w:r>
        <w:rPr>
          <w:rFonts w:hint="eastAsia"/>
          <w:sz w:val="24"/>
        </w:rPr>
        <w:t>参评研究生自行下载、填写、打印申请表和评分表，连同相应证明材料报送辅导员老师。未按期递交相关表格的，视为放弃参评资格。请参评研究生按本单位公布的《研究生国家奖学金评选量化指标和计分方法》填写评分表。</w:t>
      </w:r>
    </w:p>
    <w:p>
      <w:pPr>
        <w:numPr>
          <w:ilvl w:val="0"/>
          <w:numId w:val="2"/>
        </w:numPr>
        <w:spacing w:line="360" w:lineRule="auto"/>
        <w:rPr>
          <w:sz w:val="24"/>
        </w:rPr>
      </w:pPr>
      <w:r>
        <w:rPr>
          <w:rFonts w:hint="eastAsia"/>
          <w:sz w:val="24"/>
        </w:rPr>
        <w:t>符合条件的学生自我申请，由导师推荐。审批表中推荐人意见必须由导师填写，导师没有签字的学生不能申报。学生需提供外语成绩证明，学习成绩单和发表论文原件。</w:t>
      </w:r>
      <w:r>
        <w:rPr>
          <w:sz w:val="24"/>
        </w:rPr>
        <w:t>SCI</w:t>
      </w:r>
      <w:r>
        <w:rPr>
          <w:rFonts w:hint="eastAsia"/>
          <w:sz w:val="24"/>
        </w:rPr>
        <w:t>收录的要提供检索证明。</w:t>
      </w:r>
    </w:p>
    <w:p>
      <w:pPr>
        <w:numPr>
          <w:ilvl w:val="0"/>
          <w:numId w:val="2"/>
        </w:numPr>
        <w:spacing w:line="360" w:lineRule="auto"/>
        <w:rPr>
          <w:sz w:val="24"/>
        </w:rPr>
      </w:pPr>
      <w:r>
        <w:rPr>
          <w:rFonts w:hint="eastAsia"/>
          <w:sz w:val="24"/>
        </w:rPr>
        <w:t>评审委员会根据学生的综合成绩（包括：政治思想表现、学习成绩和科研）进行投票，得票超过委员数</w:t>
      </w:r>
      <w:r>
        <w:rPr>
          <w:sz w:val="24"/>
        </w:rPr>
        <w:t>1/2</w:t>
      </w:r>
      <w:r>
        <w:rPr>
          <w:rFonts w:hint="eastAsia"/>
          <w:sz w:val="24"/>
        </w:rPr>
        <w:t>通过有效，选出初评名单。并在本单位将初评结果公示</w:t>
      </w:r>
      <w:r>
        <w:rPr>
          <w:sz w:val="24"/>
        </w:rPr>
        <w:t>5</w:t>
      </w:r>
      <w:r>
        <w:rPr>
          <w:rFonts w:hint="eastAsia"/>
          <w:sz w:val="24"/>
        </w:rPr>
        <w:t>天。</w:t>
      </w:r>
    </w:p>
    <w:p>
      <w:pPr>
        <w:numPr>
          <w:ilvl w:val="0"/>
          <w:numId w:val="2"/>
        </w:numPr>
        <w:spacing w:line="360" w:lineRule="auto"/>
        <w:rPr>
          <w:rFonts w:hint="eastAsia"/>
          <w:sz w:val="24"/>
        </w:rPr>
      </w:pPr>
      <w:r>
        <w:rPr>
          <w:rFonts w:hint="eastAsia"/>
          <w:sz w:val="24"/>
          <w:lang w:val="en-US" w:eastAsia="zh-CN"/>
        </w:rPr>
        <w:t>将相关材料报送校研究生国家奖学金评审领导小组办公室。</w:t>
      </w:r>
    </w:p>
    <w:p>
      <w:pPr>
        <w:pStyle w:val="7"/>
        <w:spacing w:line="420" w:lineRule="atLeast"/>
        <w:jc w:val="both"/>
        <w:rPr>
          <w:rFonts w:hint="eastAsia" w:ascii="Calibri" w:hAnsi="Calibri" w:eastAsia="宋体" w:cs="Times New Roman"/>
          <w:kern w:val="2"/>
          <w:szCs w:val="22"/>
          <w:lang w:val="en-US" w:eastAsia="zh-CN"/>
        </w:rPr>
      </w:pPr>
      <w:r>
        <w:rPr>
          <w:rFonts w:hint="eastAsia" w:ascii="Calibri" w:hAnsi="Calibri" w:cs="Times New Roman"/>
          <w:kern w:val="2"/>
          <w:szCs w:val="22"/>
          <w:lang w:val="en-US" w:eastAsia="zh-CN"/>
        </w:rPr>
        <w:t>6、未尽事宜由学院评审委员会负责解释。</w:t>
      </w:r>
    </w:p>
    <w:p>
      <w:pPr>
        <w:spacing w:line="360" w:lineRule="auto"/>
        <w:rPr>
          <w:sz w:val="24"/>
        </w:rPr>
      </w:pPr>
      <w:r>
        <w:rPr>
          <w:sz w:val="24"/>
        </w:rPr>
        <w:t xml:space="preserve">                                            </w:t>
      </w:r>
    </w:p>
    <w:p>
      <w:pPr>
        <w:rPr>
          <w:rFonts w:hint="eastAsia" w:ascii="黑体" w:eastAsia="黑体"/>
          <w:b/>
          <w:sz w:val="28"/>
          <w:szCs w:val="28"/>
        </w:rPr>
      </w:pPr>
    </w:p>
    <w:p>
      <w:pPr>
        <w:rPr>
          <w:rFonts w:hint="eastAsia" w:ascii="黑体" w:eastAsia="黑体"/>
          <w:b/>
          <w:sz w:val="28"/>
          <w:szCs w:val="28"/>
        </w:rPr>
      </w:pPr>
    </w:p>
    <w:p>
      <w:pPr>
        <w:rPr>
          <w:rFonts w:hint="eastAsia" w:ascii="黑体" w:eastAsia="黑体"/>
          <w:b/>
          <w:sz w:val="28"/>
          <w:szCs w:val="28"/>
        </w:rPr>
      </w:pPr>
    </w:p>
    <w:p>
      <w:pPr>
        <w:rPr>
          <w:rFonts w:hint="eastAsia" w:ascii="黑体" w:eastAsia="黑体"/>
          <w:b/>
          <w:sz w:val="28"/>
          <w:szCs w:val="28"/>
        </w:rPr>
      </w:pPr>
    </w:p>
    <w:p>
      <w:pPr>
        <w:rPr>
          <w:rFonts w:hint="eastAsia" w:ascii="黑体" w:eastAsia="黑体"/>
          <w:b/>
          <w:sz w:val="28"/>
          <w:szCs w:val="28"/>
        </w:rPr>
      </w:pPr>
    </w:p>
    <w:p>
      <w:pPr>
        <w:rPr>
          <w:rFonts w:hint="eastAsia" w:ascii="黑体" w:eastAsia="黑体"/>
          <w:b/>
          <w:sz w:val="28"/>
          <w:szCs w:val="28"/>
        </w:rPr>
      </w:pPr>
    </w:p>
    <w:p>
      <w:pPr>
        <w:rPr>
          <w:rFonts w:hint="eastAsia" w:ascii="黑体" w:eastAsia="黑体"/>
          <w:b/>
          <w:sz w:val="28"/>
          <w:szCs w:val="28"/>
        </w:rPr>
      </w:pPr>
    </w:p>
    <w:p>
      <w:pPr>
        <w:rPr>
          <w:rFonts w:hint="eastAsia" w:ascii="黑体" w:eastAsia="黑体"/>
          <w:b/>
          <w:sz w:val="28"/>
          <w:szCs w:val="28"/>
        </w:rPr>
      </w:pPr>
    </w:p>
    <w:p>
      <w:pPr>
        <w:rPr>
          <w:rFonts w:hint="eastAsia" w:ascii="黑体" w:eastAsia="黑体"/>
          <w:b/>
          <w:sz w:val="28"/>
          <w:szCs w:val="28"/>
        </w:rPr>
      </w:pPr>
    </w:p>
    <w:p>
      <w:pPr>
        <w:rPr>
          <w:rFonts w:hint="eastAsia" w:ascii="黑体" w:eastAsia="黑体"/>
          <w:b/>
          <w:sz w:val="28"/>
          <w:szCs w:val="28"/>
        </w:rPr>
      </w:pPr>
    </w:p>
    <w:p>
      <w:pPr>
        <w:rPr>
          <w:rFonts w:hint="eastAsia" w:ascii="黑体" w:eastAsia="黑体"/>
          <w:b/>
          <w:sz w:val="28"/>
          <w:szCs w:val="28"/>
        </w:rPr>
      </w:pPr>
    </w:p>
    <w:p>
      <w:pPr>
        <w:rPr>
          <w:rFonts w:hint="eastAsia" w:ascii="黑体" w:eastAsia="黑体"/>
          <w:b/>
          <w:sz w:val="28"/>
          <w:szCs w:val="28"/>
        </w:rPr>
      </w:pPr>
    </w:p>
    <w:p>
      <w:pPr>
        <w:rPr>
          <w:rFonts w:ascii="黑体" w:eastAsia="黑体"/>
          <w:b/>
          <w:sz w:val="28"/>
          <w:szCs w:val="28"/>
        </w:rPr>
      </w:pPr>
      <w:r>
        <w:rPr>
          <w:rFonts w:hint="eastAsia" w:ascii="黑体" w:eastAsia="黑体"/>
          <w:b/>
          <w:sz w:val="28"/>
          <w:szCs w:val="28"/>
        </w:rPr>
        <w:t>附件一</w:t>
      </w:r>
    </w:p>
    <w:p>
      <w:pPr>
        <w:jc w:val="center"/>
        <w:rPr>
          <w:rFonts w:ascii="黑体" w:eastAsia="黑体"/>
          <w:sz w:val="28"/>
          <w:szCs w:val="28"/>
        </w:rPr>
      </w:pPr>
      <w:r>
        <w:rPr>
          <w:rFonts w:hint="eastAsia" w:ascii="黑体" w:eastAsia="黑体"/>
          <w:sz w:val="28"/>
          <w:szCs w:val="28"/>
        </w:rPr>
        <w:t>数学学院研究生国家奖学金评审委员会</w:t>
      </w:r>
    </w:p>
    <w:p>
      <w:pPr>
        <w:spacing w:line="360" w:lineRule="auto"/>
        <w:rPr>
          <w:sz w:val="24"/>
        </w:rPr>
      </w:pPr>
      <w:r>
        <w:rPr>
          <w:rFonts w:hint="eastAsia"/>
          <w:sz w:val="24"/>
        </w:rPr>
        <w:t>主</w:t>
      </w:r>
      <w:r>
        <w:rPr>
          <w:sz w:val="24"/>
        </w:rPr>
        <w:t xml:space="preserve">  </w:t>
      </w:r>
      <w:r>
        <w:rPr>
          <w:rFonts w:hint="eastAsia"/>
          <w:sz w:val="24"/>
        </w:rPr>
        <w:t>任：</w:t>
      </w:r>
      <w:r>
        <w:rPr>
          <w:rFonts w:hint="eastAsia"/>
          <w:sz w:val="24"/>
          <w:lang w:val="en-US" w:eastAsia="zh-CN"/>
        </w:rPr>
        <w:t>院长 党委书记</w:t>
      </w:r>
      <w:r>
        <w:rPr>
          <w:sz w:val="24"/>
        </w:rPr>
        <w:t xml:space="preserve"> </w:t>
      </w:r>
    </w:p>
    <w:p>
      <w:pPr>
        <w:spacing w:line="360" w:lineRule="auto"/>
        <w:rPr>
          <w:rFonts w:hint="default" w:eastAsia="宋体"/>
          <w:sz w:val="24"/>
          <w:lang w:val="en-US" w:eastAsia="zh-CN"/>
        </w:rPr>
      </w:pPr>
      <w:r>
        <w:rPr>
          <w:rFonts w:hint="eastAsia"/>
          <w:sz w:val="24"/>
        </w:rPr>
        <w:t>副主任：</w:t>
      </w:r>
      <w:r>
        <w:rPr>
          <w:rFonts w:hint="eastAsia"/>
          <w:sz w:val="24"/>
          <w:lang w:val="en-US" w:eastAsia="zh-CN"/>
        </w:rPr>
        <w:t>主管副院长</w:t>
      </w:r>
    </w:p>
    <w:p>
      <w:pPr>
        <w:spacing w:line="360" w:lineRule="auto"/>
        <w:ind w:left="1080" w:hanging="1080" w:hangingChars="450"/>
        <w:rPr>
          <w:rFonts w:hint="default" w:eastAsia="宋体"/>
          <w:sz w:val="24"/>
          <w:lang w:val="en-US" w:eastAsia="zh-CN"/>
        </w:rPr>
      </w:pPr>
      <w:r>
        <w:rPr>
          <w:rFonts w:hint="eastAsia"/>
          <w:sz w:val="24"/>
          <w:lang w:eastAsia="zh-CN"/>
        </w:rPr>
        <w:t>委</w:t>
      </w:r>
      <w:r>
        <w:rPr>
          <w:rFonts w:hint="eastAsia"/>
          <w:sz w:val="24"/>
          <w:lang w:val="en-US" w:eastAsia="zh-CN"/>
        </w:rPr>
        <w:t xml:space="preserve"> </w:t>
      </w:r>
      <w:r>
        <w:rPr>
          <w:rFonts w:hint="eastAsia"/>
          <w:sz w:val="24"/>
          <w:lang w:eastAsia="zh-CN"/>
        </w:rPr>
        <w:t>员</w:t>
      </w:r>
      <w:r>
        <w:rPr>
          <w:rFonts w:hint="eastAsia"/>
          <w:sz w:val="24"/>
        </w:rPr>
        <w:t>：</w:t>
      </w:r>
      <w:r>
        <w:rPr>
          <w:rFonts w:hint="eastAsia"/>
          <w:sz w:val="24"/>
          <w:lang w:val="en-US" w:eastAsia="zh-CN"/>
        </w:rPr>
        <w:t>由学术委员会、教学委员会、辅导员和学生组成</w:t>
      </w:r>
    </w:p>
    <w:p>
      <w:pPr>
        <w:rPr>
          <w:rFonts w:ascii="黑体" w:eastAsia="黑体"/>
          <w:b/>
          <w:sz w:val="28"/>
          <w:szCs w:val="28"/>
        </w:rPr>
      </w:pPr>
    </w:p>
    <w:p>
      <w:pPr>
        <w:rPr>
          <w:rFonts w:ascii="黑体" w:eastAsia="黑体"/>
          <w:b/>
          <w:sz w:val="28"/>
          <w:szCs w:val="28"/>
        </w:rPr>
      </w:pPr>
      <w:r>
        <w:rPr>
          <w:rFonts w:hint="eastAsia" w:ascii="黑体" w:eastAsia="黑体"/>
          <w:b/>
          <w:sz w:val="28"/>
          <w:szCs w:val="28"/>
        </w:rPr>
        <w:t>附件二</w:t>
      </w:r>
    </w:p>
    <w:p>
      <w:pPr>
        <w:pStyle w:val="3"/>
        <w:jc w:val="center"/>
        <w:rPr>
          <w:rFonts w:ascii="黑体" w:hAnsi="Calibri" w:eastAsia="黑体"/>
        </w:rPr>
      </w:pPr>
      <w:r>
        <w:rPr>
          <w:rFonts w:hint="eastAsia" w:ascii="黑体" w:hAnsi="Calibri" w:eastAsia="黑体"/>
          <w:b w:val="0"/>
          <w:bCs w:val="0"/>
        </w:rPr>
        <w:t>数学学院</w:t>
      </w:r>
      <w:r>
        <w:rPr>
          <w:rFonts w:hint="eastAsia" w:ascii="黑体" w:hAnsi="Calibri" w:eastAsia="黑体"/>
        </w:rPr>
        <w:t>学术型硕士研究生</w:t>
      </w:r>
      <w:r>
        <w:rPr>
          <w:rFonts w:hint="eastAsia" w:ascii="黑体" w:hAnsi="Calibri" w:eastAsia="黑体"/>
          <w:b w:val="0"/>
          <w:bCs w:val="0"/>
        </w:rPr>
        <w:t>国家</w:t>
      </w:r>
      <w:r>
        <w:rPr>
          <w:rFonts w:hint="eastAsia" w:ascii="黑体" w:hAnsi="Calibri" w:eastAsia="黑体"/>
        </w:rPr>
        <w:t>奖学金评审量化指标和计分方法</w:t>
      </w:r>
      <w:bookmarkEnd w:id="0"/>
    </w:p>
    <w:p>
      <w:pPr>
        <w:widowControl/>
        <w:shd w:val="clear" w:color="auto" w:fill="FFFFFF"/>
        <w:spacing w:line="360" w:lineRule="auto"/>
        <w:ind w:firstLine="482" w:firstLineChars="200"/>
        <w:jc w:val="left"/>
        <w:rPr>
          <w:rFonts w:ascii="仿宋" w:hAnsi="仿宋" w:eastAsia="仿宋" w:cs="宋体"/>
          <w:b/>
          <w:bCs/>
          <w:color w:val="000000"/>
          <w:kern w:val="0"/>
          <w:sz w:val="24"/>
          <w:szCs w:val="24"/>
        </w:rPr>
      </w:pPr>
      <w:bookmarkStart w:id="1" w:name="_Toc469849004"/>
      <w:bookmarkStart w:id="2" w:name="_Toc469848819"/>
      <w:r>
        <w:rPr>
          <w:rStyle w:val="15"/>
          <w:rFonts w:hint="eastAsia" w:ascii="仿宋_GB2312" w:eastAsia="仿宋_GB2312"/>
          <w:color w:val="000000"/>
          <w:sz w:val="24"/>
          <w:szCs w:val="24"/>
        </w:rPr>
        <w:t>一、评审指标</w:t>
      </w:r>
      <w:bookmarkEnd w:id="1"/>
      <w:bookmarkEnd w:id="2"/>
    </w:p>
    <w:p>
      <w:pPr>
        <w:widowControl/>
        <w:shd w:val="clear" w:color="auto" w:fill="FFFFFF"/>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评审指标为</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个部分，满分</w:t>
      </w:r>
      <w:r>
        <w:rPr>
          <w:rFonts w:ascii="仿宋" w:hAnsi="仿宋" w:eastAsia="仿宋" w:cs="宋体"/>
          <w:color w:val="000000"/>
          <w:kern w:val="0"/>
          <w:sz w:val="24"/>
          <w:szCs w:val="24"/>
        </w:rPr>
        <w:t>100</w:t>
      </w:r>
      <w:r>
        <w:rPr>
          <w:rFonts w:hint="eastAsia" w:ascii="仿宋" w:hAnsi="仿宋" w:eastAsia="仿宋" w:cs="宋体"/>
          <w:color w:val="000000"/>
          <w:kern w:val="0"/>
          <w:sz w:val="24"/>
          <w:szCs w:val="24"/>
        </w:rPr>
        <w:t>分：</w:t>
      </w:r>
    </w:p>
    <w:p>
      <w:pPr>
        <w:widowControl/>
        <w:shd w:val="clear" w:color="auto" w:fill="FFFFFF"/>
        <w:spacing w:line="360" w:lineRule="auto"/>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政治思想表现（最高</w:t>
      </w:r>
      <w:r>
        <w:rPr>
          <w:rFonts w:ascii="仿宋" w:hAnsi="仿宋" w:eastAsia="仿宋" w:cs="宋体"/>
          <w:color w:val="000000"/>
          <w:kern w:val="0"/>
          <w:sz w:val="24"/>
          <w:szCs w:val="24"/>
        </w:rPr>
        <w:t>20</w:t>
      </w:r>
      <w:r>
        <w:rPr>
          <w:rFonts w:hint="eastAsia" w:ascii="仿宋" w:hAnsi="仿宋" w:eastAsia="仿宋" w:cs="宋体"/>
          <w:color w:val="000000"/>
          <w:kern w:val="0"/>
          <w:sz w:val="24"/>
          <w:szCs w:val="24"/>
        </w:rPr>
        <w:t>分）。</w:t>
      </w:r>
    </w:p>
    <w:p>
      <w:pPr>
        <w:widowControl/>
        <w:shd w:val="clear" w:color="auto" w:fill="FFFFFF"/>
        <w:spacing w:line="360" w:lineRule="auto"/>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科研成果（最高</w:t>
      </w:r>
      <w:r>
        <w:rPr>
          <w:rFonts w:ascii="仿宋" w:hAnsi="仿宋" w:eastAsia="仿宋" w:cs="宋体"/>
          <w:color w:val="000000"/>
          <w:kern w:val="0"/>
          <w:sz w:val="24"/>
          <w:szCs w:val="24"/>
        </w:rPr>
        <w:t>80</w:t>
      </w:r>
      <w:r>
        <w:rPr>
          <w:rFonts w:hint="eastAsia" w:ascii="仿宋" w:hAnsi="仿宋" w:eastAsia="仿宋" w:cs="宋体"/>
          <w:color w:val="000000"/>
          <w:kern w:val="0"/>
          <w:sz w:val="24"/>
          <w:szCs w:val="24"/>
        </w:rPr>
        <w:t>分）。</w:t>
      </w:r>
    </w:p>
    <w:p>
      <w:pPr>
        <w:widowControl/>
        <w:shd w:val="clear" w:color="auto" w:fill="FFFFFF"/>
        <w:spacing w:line="360" w:lineRule="auto"/>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课程和成绩要求</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修完培养计划规定的所有公共学位课与专业基础课</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平均成绩须在</w:t>
      </w:r>
      <w:r>
        <w:rPr>
          <w:rFonts w:ascii="仿宋" w:hAnsi="仿宋" w:eastAsia="仿宋" w:cs="宋体"/>
          <w:color w:val="000000"/>
          <w:kern w:val="0"/>
          <w:sz w:val="24"/>
          <w:szCs w:val="24"/>
        </w:rPr>
        <w:t>80</w:t>
      </w:r>
      <w:r>
        <w:rPr>
          <w:rFonts w:hint="eastAsia" w:ascii="仿宋" w:hAnsi="仿宋" w:eastAsia="仿宋" w:cs="宋体"/>
          <w:color w:val="000000"/>
          <w:kern w:val="0"/>
          <w:sz w:val="24"/>
          <w:szCs w:val="24"/>
        </w:rPr>
        <w:t>分</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含</w:t>
      </w:r>
      <w:r>
        <w:rPr>
          <w:rFonts w:ascii="仿宋" w:hAnsi="仿宋" w:eastAsia="仿宋" w:cs="宋体"/>
          <w:color w:val="000000"/>
          <w:kern w:val="0"/>
          <w:sz w:val="24"/>
          <w:szCs w:val="24"/>
        </w:rPr>
        <w:t>80</w:t>
      </w:r>
      <w:r>
        <w:rPr>
          <w:rFonts w:hint="eastAsia" w:ascii="仿宋" w:hAnsi="仿宋" w:eastAsia="仿宋" w:cs="宋体"/>
          <w:color w:val="000000"/>
          <w:kern w:val="0"/>
          <w:sz w:val="24"/>
          <w:szCs w:val="24"/>
        </w:rPr>
        <w:t>分</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以上</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且单科成绩不低于</w:t>
      </w:r>
      <w:r>
        <w:rPr>
          <w:rFonts w:ascii="仿宋" w:hAnsi="仿宋" w:eastAsia="仿宋" w:cs="宋体"/>
          <w:color w:val="000000"/>
          <w:kern w:val="0"/>
          <w:sz w:val="24"/>
          <w:szCs w:val="24"/>
        </w:rPr>
        <w:t>60</w:t>
      </w:r>
      <w:r>
        <w:rPr>
          <w:rFonts w:hint="eastAsia" w:ascii="仿宋" w:hAnsi="仿宋" w:eastAsia="仿宋" w:cs="宋体"/>
          <w:color w:val="000000"/>
          <w:kern w:val="0"/>
          <w:sz w:val="24"/>
          <w:szCs w:val="24"/>
        </w:rPr>
        <w:t>分。重修通过，成绩最高按</w:t>
      </w:r>
      <w:r>
        <w:rPr>
          <w:rFonts w:ascii="仿宋" w:hAnsi="仿宋" w:eastAsia="仿宋" w:cs="宋体"/>
          <w:color w:val="000000"/>
          <w:kern w:val="0"/>
          <w:sz w:val="24"/>
          <w:szCs w:val="24"/>
        </w:rPr>
        <w:t>60</w:t>
      </w:r>
      <w:r>
        <w:rPr>
          <w:rFonts w:hint="eastAsia" w:ascii="仿宋" w:hAnsi="仿宋" w:eastAsia="仿宋" w:cs="宋体"/>
          <w:color w:val="000000"/>
          <w:kern w:val="0"/>
          <w:sz w:val="24"/>
          <w:szCs w:val="24"/>
        </w:rPr>
        <w:t>分计。研究生的外语水平还要达到我校上一届毕业研究生学位授予时对外国语成绩的要求。</w:t>
      </w:r>
    </w:p>
    <w:p>
      <w:pPr>
        <w:widowControl/>
        <w:shd w:val="clear" w:color="auto" w:fill="FFFFFF"/>
        <w:spacing w:line="360" w:lineRule="auto"/>
        <w:ind w:left="359" w:leftChars="171" w:firstLine="120" w:firstLineChars="50"/>
        <w:jc w:val="left"/>
        <w:rPr>
          <w:rFonts w:ascii="仿宋" w:hAnsi="仿宋" w:eastAsia="仿宋" w:cs="宋体"/>
          <w:b/>
          <w:color w:val="000000"/>
          <w:kern w:val="0"/>
          <w:sz w:val="24"/>
          <w:szCs w:val="24"/>
        </w:rPr>
      </w:pPr>
      <w:bookmarkStart w:id="3" w:name="_Toc469848820"/>
      <w:bookmarkStart w:id="4" w:name="_Toc469849005"/>
      <w:r>
        <w:rPr>
          <w:rStyle w:val="15"/>
          <w:rFonts w:hint="eastAsia" w:ascii="黑体" w:hAnsi="黑体" w:eastAsia="黑体"/>
          <w:color w:val="000000"/>
          <w:sz w:val="24"/>
          <w:szCs w:val="24"/>
        </w:rPr>
        <w:t>二、评分办法</w:t>
      </w:r>
      <w:bookmarkEnd w:id="3"/>
      <w:bookmarkEnd w:id="4"/>
      <w:r>
        <w:rPr>
          <w:rStyle w:val="15"/>
          <w:rFonts w:ascii="仿宋" w:hAnsi="仿宋" w:eastAsia="仿宋"/>
          <w:color w:val="000000"/>
          <w:sz w:val="24"/>
          <w:szCs w:val="24"/>
        </w:rPr>
        <w:br w:type="textWrapping"/>
      </w:r>
      <w:r>
        <w:rPr>
          <w:rFonts w:hint="eastAsia" w:ascii="仿宋" w:hAnsi="仿宋" w:eastAsia="仿宋"/>
          <w:b/>
          <w:color w:val="000000"/>
          <w:sz w:val="24"/>
          <w:szCs w:val="24"/>
        </w:rPr>
        <w:t>（一）政治思想及日常行为表现（</w:t>
      </w:r>
      <w:r>
        <w:rPr>
          <w:rFonts w:ascii="仿宋" w:hAnsi="仿宋" w:eastAsia="仿宋"/>
          <w:b/>
          <w:color w:val="000000"/>
          <w:sz w:val="24"/>
          <w:szCs w:val="24"/>
        </w:rPr>
        <w:t>20</w:t>
      </w:r>
      <w:r>
        <w:rPr>
          <w:rFonts w:hint="eastAsia" w:ascii="仿宋" w:hAnsi="仿宋" w:eastAsia="仿宋"/>
          <w:b/>
          <w:color w:val="000000"/>
          <w:sz w:val="24"/>
          <w:szCs w:val="24"/>
        </w:rPr>
        <w:t>分）</w:t>
      </w:r>
    </w:p>
    <w:p>
      <w:pPr>
        <w:widowControl/>
        <w:shd w:val="clear" w:color="auto" w:fill="FFFFFF"/>
        <w:spacing w:line="360" w:lineRule="auto"/>
        <w:ind w:firstLine="480" w:firstLineChars="200"/>
        <w:jc w:val="left"/>
        <w:rPr>
          <w:rFonts w:ascii="仿宋" w:hAnsi="仿宋" w:eastAsia="仿宋" w:cs="宋体"/>
          <w:bCs/>
          <w:color w:val="000000"/>
          <w:kern w:val="0"/>
          <w:sz w:val="24"/>
          <w:szCs w:val="24"/>
        </w:rPr>
      </w:pPr>
      <w:r>
        <w:rPr>
          <w:rFonts w:ascii="仿宋" w:hAnsi="仿宋" w:eastAsia="仿宋" w:cs="宋体"/>
          <w:bCs/>
          <w:color w:val="000000"/>
          <w:kern w:val="0"/>
          <w:sz w:val="24"/>
          <w:szCs w:val="24"/>
        </w:rPr>
        <w:t>1.</w:t>
      </w:r>
      <w:r>
        <w:rPr>
          <w:rFonts w:hint="eastAsia" w:ascii="仿宋" w:hAnsi="仿宋" w:eastAsia="仿宋" w:cs="宋体"/>
          <w:bCs/>
          <w:color w:val="000000"/>
          <w:kern w:val="0"/>
          <w:sz w:val="24"/>
          <w:szCs w:val="24"/>
        </w:rPr>
        <w:t>研究生品行综合评价（</w:t>
      </w:r>
      <w:r>
        <w:rPr>
          <w:rFonts w:ascii="仿宋" w:hAnsi="仿宋" w:eastAsia="仿宋" w:cs="宋体"/>
          <w:bCs/>
          <w:color w:val="000000"/>
          <w:kern w:val="0"/>
          <w:sz w:val="24"/>
          <w:szCs w:val="24"/>
        </w:rPr>
        <w:t>15</w:t>
      </w:r>
      <w:r>
        <w:rPr>
          <w:rFonts w:hint="eastAsia" w:ascii="仿宋" w:hAnsi="仿宋" w:eastAsia="仿宋" w:cs="宋体"/>
          <w:bCs/>
          <w:color w:val="000000"/>
          <w:kern w:val="0"/>
          <w:sz w:val="24"/>
          <w:szCs w:val="24"/>
        </w:rPr>
        <w:t>分）</w:t>
      </w:r>
    </w:p>
    <w:p>
      <w:pPr>
        <w:widowControl/>
        <w:shd w:val="clear" w:color="auto" w:fill="FFFFFF"/>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bCs/>
          <w:color w:val="000000"/>
          <w:kern w:val="0"/>
          <w:sz w:val="24"/>
          <w:szCs w:val="24"/>
        </w:rPr>
        <w:t>本评价由各培养单位总支书记、院长、主管</w:t>
      </w:r>
      <w:r>
        <w:rPr>
          <w:rStyle w:val="15"/>
          <w:rFonts w:hint="eastAsia" w:ascii="仿宋" w:hAnsi="仿宋" w:eastAsia="仿宋"/>
          <w:b w:val="0"/>
          <w:color w:val="000000"/>
          <w:sz w:val="24"/>
          <w:szCs w:val="24"/>
        </w:rPr>
        <w:t>院长、辅导员和教学秘书，必要情况下可吸收专业基础课任课教师综合研究生以下几个方面表现进行：①</w:t>
      </w:r>
      <w:r>
        <w:rPr>
          <w:rFonts w:hint="eastAsia" w:ascii="仿宋" w:hAnsi="仿宋" w:eastAsia="仿宋"/>
          <w:bCs/>
          <w:color w:val="000000"/>
          <w:sz w:val="24"/>
          <w:szCs w:val="24"/>
        </w:rPr>
        <w:t>是否</w:t>
      </w:r>
      <w:r>
        <w:rPr>
          <w:rFonts w:hint="eastAsia" w:ascii="仿宋" w:hAnsi="仿宋" w:eastAsia="仿宋"/>
          <w:color w:val="000000"/>
          <w:sz w:val="24"/>
          <w:szCs w:val="24"/>
        </w:rPr>
        <w:t>违反校规校纪受到纪律处分；</w:t>
      </w:r>
      <w:r>
        <w:rPr>
          <w:rStyle w:val="15"/>
          <w:rFonts w:hint="eastAsia" w:ascii="仿宋" w:hAnsi="仿宋" w:eastAsia="仿宋"/>
          <w:b w:val="0"/>
          <w:color w:val="000000"/>
          <w:sz w:val="24"/>
          <w:szCs w:val="24"/>
        </w:rPr>
        <w:t>②是否存在</w:t>
      </w:r>
      <w:r>
        <w:rPr>
          <w:rFonts w:hint="eastAsia" w:ascii="仿宋" w:hAnsi="仿宋" w:eastAsia="仿宋"/>
          <w:color w:val="000000"/>
          <w:sz w:val="24"/>
          <w:szCs w:val="24"/>
        </w:rPr>
        <w:t>未请假或请假未获准擅自旷课、迟到或早退、是否隐瞒缺课次数或以不当方式取得考试成绩；</w:t>
      </w:r>
      <w:r>
        <w:rPr>
          <w:rStyle w:val="15"/>
          <w:rFonts w:hint="eastAsia" w:ascii="仿宋" w:hAnsi="仿宋" w:eastAsia="仿宋"/>
          <w:b w:val="0"/>
          <w:color w:val="000000"/>
          <w:sz w:val="24"/>
          <w:szCs w:val="24"/>
        </w:rPr>
        <w:t>③</w:t>
      </w:r>
      <w:r>
        <w:rPr>
          <w:rFonts w:hint="eastAsia" w:ascii="仿宋" w:hAnsi="仿宋" w:eastAsia="仿宋"/>
          <w:bCs/>
          <w:color w:val="000000"/>
          <w:sz w:val="24"/>
          <w:szCs w:val="24"/>
        </w:rPr>
        <w:t>是否</w:t>
      </w:r>
      <w:r>
        <w:rPr>
          <w:rFonts w:hint="eastAsia" w:ascii="仿宋" w:hAnsi="仿宋" w:eastAsia="仿宋"/>
          <w:color w:val="000000"/>
          <w:sz w:val="24"/>
          <w:szCs w:val="24"/>
          <w:shd w:val="clear" w:color="auto" w:fill="FFFFFF"/>
        </w:rPr>
        <w:t>积极参加集体活动，是否有</w:t>
      </w:r>
      <w:r>
        <w:rPr>
          <w:rFonts w:hint="eastAsia" w:ascii="仿宋" w:hAnsi="仿宋" w:eastAsia="仿宋"/>
          <w:color w:val="000000"/>
          <w:sz w:val="24"/>
          <w:szCs w:val="24"/>
        </w:rPr>
        <w:t>未经请假或请假未获准擅自不参加文体活动，或者中途无故退出。</w:t>
      </w:r>
      <w:r>
        <w:rPr>
          <w:rStyle w:val="15"/>
          <w:rFonts w:hint="eastAsia" w:ascii="仿宋" w:hAnsi="仿宋" w:eastAsia="仿宋"/>
          <w:b w:val="0"/>
          <w:color w:val="000000"/>
          <w:sz w:val="24"/>
          <w:szCs w:val="24"/>
        </w:rPr>
        <w:t>④</w:t>
      </w:r>
      <w:r>
        <w:rPr>
          <w:rFonts w:hint="eastAsia" w:ascii="仿宋" w:hAnsi="仿宋" w:eastAsia="仿宋"/>
          <w:bCs/>
          <w:color w:val="000000"/>
          <w:sz w:val="24"/>
          <w:szCs w:val="24"/>
        </w:rPr>
        <w:t>是否有</w:t>
      </w:r>
      <w:r>
        <w:rPr>
          <w:rFonts w:hint="eastAsia" w:ascii="仿宋" w:hAnsi="仿宋" w:eastAsia="仿宋"/>
          <w:color w:val="000000"/>
          <w:sz w:val="24"/>
          <w:szCs w:val="24"/>
        </w:rPr>
        <w:t>谩骂、造谣生事等不尊重老师、侮辱同学、干扰管理人员正常工作的行为；</w:t>
      </w:r>
      <w:r>
        <w:rPr>
          <w:rStyle w:val="15"/>
          <w:rFonts w:hint="eastAsia" w:ascii="仿宋" w:hAnsi="仿宋" w:eastAsia="仿宋"/>
          <w:b w:val="0"/>
          <w:color w:val="000000"/>
          <w:sz w:val="24"/>
          <w:szCs w:val="24"/>
        </w:rPr>
        <w:t>⑤是否有</w:t>
      </w:r>
      <w:r>
        <w:rPr>
          <w:rFonts w:hint="eastAsia" w:ascii="仿宋" w:hAnsi="仿宋" w:eastAsia="仿宋"/>
          <w:color w:val="000000"/>
          <w:sz w:val="24"/>
          <w:szCs w:val="24"/>
        </w:rPr>
        <w:t>破坏教室、寝室楼内等公共场地卫生，经教育不改正的行为；</w:t>
      </w:r>
      <w:r>
        <w:rPr>
          <w:rStyle w:val="15"/>
          <w:rFonts w:hint="eastAsia" w:ascii="仿宋" w:hAnsi="仿宋" w:eastAsia="仿宋"/>
          <w:b w:val="0"/>
          <w:color w:val="000000"/>
          <w:sz w:val="24"/>
          <w:szCs w:val="24"/>
        </w:rPr>
        <w:t>⑥是否</w:t>
      </w:r>
      <w:r>
        <w:rPr>
          <w:rFonts w:hint="eastAsia" w:ascii="仿宋" w:hAnsi="仿宋" w:eastAsia="仿宋"/>
          <w:color w:val="000000"/>
          <w:sz w:val="24"/>
          <w:szCs w:val="24"/>
        </w:rPr>
        <w:t>在研究生寝室内吸烟、赌博、酗酒、是否占用他人床位或空间；</w:t>
      </w:r>
      <w:r>
        <w:rPr>
          <w:rStyle w:val="15"/>
          <w:rFonts w:hint="eastAsia" w:ascii="仿宋" w:hAnsi="仿宋" w:eastAsia="仿宋"/>
          <w:b w:val="0"/>
          <w:color w:val="000000"/>
          <w:sz w:val="24"/>
          <w:szCs w:val="24"/>
        </w:rPr>
        <w:t>⑦是否</w:t>
      </w:r>
      <w:r>
        <w:rPr>
          <w:rFonts w:hint="eastAsia" w:ascii="仿宋" w:hAnsi="仿宋" w:eastAsia="仿宋"/>
          <w:bCs/>
          <w:color w:val="000000"/>
          <w:sz w:val="24"/>
          <w:szCs w:val="24"/>
        </w:rPr>
        <w:t>服从、配合老师或管理人员对宿舍寝室或床位进行调整；</w:t>
      </w:r>
      <w:r>
        <w:rPr>
          <w:rStyle w:val="15"/>
          <w:rFonts w:hint="eastAsia" w:ascii="仿宋" w:hAnsi="仿宋" w:eastAsia="仿宋"/>
          <w:b w:val="0"/>
          <w:color w:val="000000"/>
          <w:sz w:val="24"/>
          <w:szCs w:val="24"/>
        </w:rPr>
        <w:t>⑧</w:t>
      </w:r>
      <w:r>
        <w:rPr>
          <w:rFonts w:hint="eastAsia" w:ascii="仿宋" w:hAnsi="仿宋" w:eastAsia="仿宋"/>
          <w:color w:val="000000"/>
          <w:sz w:val="24"/>
          <w:szCs w:val="24"/>
        </w:rPr>
        <w:t>研究生干部在工作中是否有不积极、擅自脱离岗位造成学生工作或活动无法顺利开展的情况；</w:t>
      </w:r>
      <w:r>
        <w:rPr>
          <w:rStyle w:val="15"/>
          <w:rFonts w:hint="eastAsia" w:ascii="仿宋" w:hAnsi="仿宋" w:eastAsia="仿宋"/>
          <w:b w:val="0"/>
          <w:color w:val="000000"/>
          <w:sz w:val="24"/>
          <w:szCs w:val="24"/>
        </w:rPr>
        <w:t>⑨是否存在</w:t>
      </w:r>
      <w:r>
        <w:rPr>
          <w:rFonts w:hint="eastAsia" w:ascii="仿宋" w:hAnsi="仿宋" w:eastAsia="仿宋"/>
          <w:color w:val="000000"/>
          <w:sz w:val="24"/>
          <w:szCs w:val="24"/>
        </w:rPr>
        <w:t>恶意拖欠研究生宿费和学费的情况；</w:t>
      </w:r>
      <w:r>
        <w:rPr>
          <w:rStyle w:val="15"/>
          <w:rFonts w:hint="eastAsia" w:ascii="仿宋" w:hAnsi="仿宋" w:eastAsia="仿宋"/>
          <w:b w:val="0"/>
          <w:color w:val="000000"/>
          <w:sz w:val="24"/>
          <w:szCs w:val="24"/>
        </w:rPr>
        <w:t>⑩是否有</w:t>
      </w:r>
      <w:r>
        <w:rPr>
          <w:rFonts w:hint="eastAsia" w:ascii="仿宋" w:hAnsi="仿宋" w:eastAsia="仿宋"/>
          <w:color w:val="000000"/>
          <w:sz w:val="24"/>
          <w:szCs w:val="24"/>
        </w:rPr>
        <w:t>其它与研究生身份不符的行为；⑾收到管理人员对参评人的举报或投诉等。</w:t>
      </w:r>
    </w:p>
    <w:p>
      <w:pPr>
        <w:widowControl/>
        <w:shd w:val="clear" w:color="auto" w:fill="FFFFFF"/>
        <w:spacing w:line="360" w:lineRule="auto"/>
        <w:ind w:firstLine="480" w:firstLineChars="200"/>
        <w:jc w:val="left"/>
        <w:rPr>
          <w:rFonts w:ascii="仿宋" w:hAnsi="仿宋" w:eastAsia="仿宋" w:cs="宋体"/>
          <w:bCs/>
          <w:color w:val="000000"/>
          <w:kern w:val="0"/>
          <w:sz w:val="24"/>
          <w:szCs w:val="24"/>
        </w:rPr>
      </w:pPr>
      <w:r>
        <w:rPr>
          <w:rFonts w:ascii="仿宋" w:hAnsi="仿宋" w:eastAsia="仿宋" w:cs="宋体"/>
          <w:color w:val="000000"/>
          <w:kern w:val="0"/>
          <w:sz w:val="24"/>
          <w:szCs w:val="24"/>
        </w:rPr>
        <w:t xml:space="preserve">  2</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学生干部和参加活动情况（最高</w:t>
      </w:r>
      <w:r>
        <w:rPr>
          <w:rFonts w:ascii="仿宋" w:hAnsi="仿宋" w:eastAsia="仿宋" w:cs="宋体"/>
          <w:bCs/>
          <w:color w:val="000000"/>
          <w:kern w:val="0"/>
          <w:sz w:val="24"/>
          <w:szCs w:val="24"/>
        </w:rPr>
        <w:t>5</w:t>
      </w:r>
      <w:r>
        <w:rPr>
          <w:rFonts w:hint="eastAsia" w:ascii="仿宋" w:hAnsi="仿宋" w:eastAsia="仿宋" w:cs="宋体"/>
          <w:bCs/>
          <w:color w:val="000000"/>
          <w:kern w:val="0"/>
          <w:sz w:val="24"/>
          <w:szCs w:val="24"/>
        </w:rPr>
        <w:t>分）</w:t>
      </w:r>
    </w:p>
    <w:p>
      <w:pPr>
        <w:widowControl/>
        <w:shd w:val="clear" w:color="auto" w:fill="FFFFFF"/>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研究生会主席或副主席、党支部书记（</w:t>
      </w:r>
      <w:r>
        <w:rPr>
          <w:rFonts w:ascii="仿宋" w:hAnsi="仿宋" w:eastAsia="仿宋" w:cs="宋体"/>
          <w:color w:val="000000"/>
          <w:kern w:val="0"/>
          <w:sz w:val="24"/>
          <w:szCs w:val="24"/>
        </w:rPr>
        <w:t>1.5</w:t>
      </w:r>
      <w:r>
        <w:rPr>
          <w:rFonts w:hint="eastAsia" w:ascii="仿宋" w:hAnsi="仿宋" w:eastAsia="仿宋" w:cs="宋体"/>
          <w:color w:val="000000"/>
          <w:kern w:val="0"/>
          <w:sz w:val="24"/>
          <w:szCs w:val="24"/>
        </w:rPr>
        <w:t>分）</w:t>
      </w:r>
      <w:r>
        <w:rPr>
          <w:rFonts w:hint="eastAsia" w:ascii="仿宋" w:hAnsi="仿宋" w:eastAsia="仿宋"/>
          <w:color w:val="000000"/>
          <w:sz w:val="24"/>
          <w:szCs w:val="24"/>
        </w:rPr>
        <w:t>，班长、部长或其它研究生学生干部（</w:t>
      </w:r>
      <w:r>
        <w:rPr>
          <w:rFonts w:ascii="仿宋" w:hAnsi="仿宋" w:eastAsia="仿宋"/>
          <w:color w:val="000000"/>
          <w:sz w:val="24"/>
          <w:szCs w:val="24"/>
        </w:rPr>
        <w:t>1</w:t>
      </w:r>
      <w:r>
        <w:rPr>
          <w:rFonts w:hint="eastAsia" w:ascii="仿宋" w:hAnsi="仿宋" w:eastAsia="仿宋"/>
          <w:color w:val="000000"/>
          <w:sz w:val="24"/>
          <w:szCs w:val="24"/>
        </w:rPr>
        <w:t>分）；寝室长（</w:t>
      </w:r>
      <w:r>
        <w:rPr>
          <w:rFonts w:ascii="仿宋" w:hAnsi="仿宋" w:eastAsia="仿宋"/>
          <w:color w:val="000000"/>
          <w:sz w:val="24"/>
          <w:szCs w:val="24"/>
        </w:rPr>
        <w:t>0.2</w:t>
      </w:r>
      <w:r>
        <w:rPr>
          <w:rFonts w:hint="eastAsia" w:ascii="仿宋" w:hAnsi="仿宋" w:eastAsia="仿宋"/>
          <w:color w:val="000000"/>
          <w:sz w:val="24"/>
          <w:szCs w:val="24"/>
        </w:rPr>
        <w:t>分）</w:t>
      </w:r>
      <w:r>
        <w:rPr>
          <w:rFonts w:ascii="仿宋_GB2312" w:eastAsia="仿宋_GB2312"/>
          <w:color w:val="000000"/>
          <w:sz w:val="24"/>
          <w:szCs w:val="24"/>
        </w:rPr>
        <w:t>;</w:t>
      </w:r>
      <w:r>
        <w:rPr>
          <w:rFonts w:hint="eastAsia" w:ascii="仿宋" w:hAnsi="仿宋" w:eastAsia="仿宋"/>
          <w:color w:val="000000"/>
          <w:sz w:val="24"/>
          <w:szCs w:val="24"/>
        </w:rPr>
        <w:t>代表学院参加学校组织文体活动、竞赛等，每次加</w:t>
      </w:r>
      <w:r>
        <w:rPr>
          <w:rFonts w:ascii="仿宋" w:hAnsi="仿宋" w:eastAsia="仿宋"/>
          <w:color w:val="000000"/>
          <w:sz w:val="24"/>
          <w:szCs w:val="24"/>
        </w:rPr>
        <w:t>0.5</w:t>
      </w:r>
      <w:r>
        <w:rPr>
          <w:rFonts w:hint="eastAsia" w:ascii="仿宋" w:hAnsi="仿宋" w:eastAsia="仿宋"/>
          <w:color w:val="000000"/>
          <w:sz w:val="24"/>
          <w:szCs w:val="24"/>
        </w:rPr>
        <w:t>分，获奖追加</w:t>
      </w:r>
      <w:r>
        <w:rPr>
          <w:rFonts w:ascii="仿宋" w:hAnsi="仿宋" w:eastAsia="仿宋"/>
          <w:color w:val="000000"/>
          <w:sz w:val="24"/>
          <w:szCs w:val="24"/>
        </w:rPr>
        <w:t>1</w:t>
      </w:r>
      <w:r>
        <w:rPr>
          <w:rFonts w:hint="eastAsia" w:ascii="仿宋" w:hAnsi="仿宋" w:eastAsia="仿宋"/>
          <w:color w:val="000000"/>
          <w:sz w:val="24"/>
          <w:szCs w:val="24"/>
        </w:rPr>
        <w:t>分；代表学校参加省级以上文体活动或竞赛者每次加</w:t>
      </w:r>
      <w:r>
        <w:rPr>
          <w:rFonts w:ascii="仿宋" w:hAnsi="仿宋" w:eastAsia="仿宋"/>
          <w:color w:val="000000"/>
          <w:sz w:val="24"/>
          <w:szCs w:val="24"/>
        </w:rPr>
        <w:t>1.5</w:t>
      </w:r>
      <w:r>
        <w:rPr>
          <w:rFonts w:hint="eastAsia" w:ascii="仿宋" w:hAnsi="仿宋" w:eastAsia="仿宋"/>
          <w:color w:val="000000"/>
          <w:sz w:val="24"/>
          <w:szCs w:val="24"/>
        </w:rPr>
        <w:t>分，获奖追加</w:t>
      </w:r>
      <w:r>
        <w:rPr>
          <w:rFonts w:ascii="仿宋" w:hAnsi="仿宋" w:eastAsia="仿宋"/>
          <w:color w:val="000000"/>
          <w:sz w:val="24"/>
          <w:szCs w:val="24"/>
        </w:rPr>
        <w:t>2</w:t>
      </w:r>
      <w:r>
        <w:rPr>
          <w:rFonts w:hint="eastAsia" w:ascii="仿宋" w:hAnsi="仿宋" w:eastAsia="仿宋"/>
          <w:color w:val="000000"/>
          <w:sz w:val="24"/>
          <w:szCs w:val="24"/>
        </w:rPr>
        <w:t>分；参加青年志愿者活动，每次加</w:t>
      </w:r>
      <w:r>
        <w:rPr>
          <w:rFonts w:ascii="仿宋" w:hAnsi="仿宋" w:eastAsia="仿宋"/>
          <w:color w:val="000000"/>
          <w:sz w:val="24"/>
          <w:szCs w:val="24"/>
        </w:rPr>
        <w:t>0.2</w:t>
      </w:r>
      <w:r>
        <w:rPr>
          <w:rFonts w:hint="eastAsia" w:ascii="仿宋" w:hAnsi="仿宋" w:eastAsia="仿宋"/>
          <w:color w:val="000000"/>
          <w:sz w:val="24"/>
          <w:szCs w:val="24"/>
        </w:rPr>
        <w:t>分（最高</w:t>
      </w:r>
      <w:r>
        <w:rPr>
          <w:rFonts w:ascii="仿宋" w:hAnsi="仿宋" w:eastAsia="仿宋"/>
          <w:color w:val="000000"/>
          <w:sz w:val="24"/>
          <w:szCs w:val="24"/>
        </w:rPr>
        <w:t>2</w:t>
      </w:r>
      <w:r>
        <w:rPr>
          <w:rFonts w:hint="eastAsia" w:ascii="仿宋" w:hAnsi="仿宋" w:eastAsia="仿宋"/>
          <w:color w:val="000000"/>
          <w:sz w:val="24"/>
          <w:szCs w:val="24"/>
        </w:rPr>
        <w:t>分）。</w:t>
      </w:r>
      <w:r>
        <w:rPr>
          <w:rFonts w:ascii="仿宋" w:hAnsi="仿宋" w:eastAsia="仿宋"/>
          <w:color w:val="000000"/>
          <w:sz w:val="24"/>
          <w:szCs w:val="24"/>
        </w:rPr>
        <w:br w:type="textWrapping"/>
      </w:r>
      <w:r>
        <w:rPr>
          <w:rFonts w:ascii="仿宋" w:hAnsi="仿宋" w:eastAsia="仿宋"/>
          <w:color w:val="000000"/>
          <w:sz w:val="24"/>
          <w:szCs w:val="24"/>
        </w:rPr>
        <w:t xml:space="preserve">    </w:t>
      </w:r>
      <w:r>
        <w:rPr>
          <w:rFonts w:hint="eastAsia" w:ascii="仿宋" w:hAnsi="仿宋" w:eastAsia="仿宋"/>
          <w:color w:val="000000"/>
          <w:sz w:val="24"/>
          <w:szCs w:val="24"/>
        </w:rPr>
        <w:t>国家、省、市、校四级优秀研究生如</w:t>
      </w:r>
      <w:r>
        <w:rPr>
          <w:rFonts w:hint="eastAsia" w:ascii="仿宋" w:hAnsi="仿宋" w:eastAsia="仿宋" w:cs="宋体"/>
          <w:color w:val="000000"/>
          <w:kern w:val="0"/>
          <w:sz w:val="24"/>
          <w:szCs w:val="24"/>
        </w:rPr>
        <w:t>三好学生、优秀学生干部、优秀毕业生、文体活动积极分子、社会实践先进个人、</w:t>
      </w:r>
      <w:r>
        <w:rPr>
          <w:rFonts w:hint="eastAsia" w:ascii="仿宋" w:hAnsi="仿宋" w:eastAsia="仿宋"/>
          <w:color w:val="000000"/>
          <w:sz w:val="24"/>
          <w:szCs w:val="24"/>
        </w:rPr>
        <w:t>专业实践类先进个人</w:t>
      </w:r>
      <w:r>
        <w:rPr>
          <w:rFonts w:hint="eastAsia" w:ascii="仿宋" w:hAnsi="仿宋" w:eastAsia="仿宋" w:cs="宋体"/>
          <w:color w:val="000000"/>
          <w:kern w:val="0"/>
          <w:sz w:val="24"/>
          <w:szCs w:val="24"/>
        </w:rPr>
        <w:t>等个人奖项在评选奖学金时给予</w:t>
      </w: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加分，如有重复可累积计分。</w:t>
      </w:r>
    </w:p>
    <w:p>
      <w:pPr>
        <w:widowControl/>
        <w:shd w:val="clear" w:color="auto" w:fill="FFFFFF"/>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olor w:val="000000"/>
          <w:sz w:val="24"/>
          <w:szCs w:val="24"/>
          <w:shd w:val="clear" w:color="auto" w:fill="FFFFFF"/>
        </w:rPr>
        <w:t>注：各研究生培养单位要对研究生学生干部履职情况认真进行考核，考核不合格者，取消其</w:t>
      </w:r>
      <w:r>
        <w:rPr>
          <w:rStyle w:val="15"/>
          <w:rFonts w:hint="eastAsia" w:ascii="仿宋" w:hAnsi="仿宋" w:eastAsia="仿宋"/>
          <w:b w:val="0"/>
          <w:color w:val="000000"/>
          <w:sz w:val="24"/>
          <w:szCs w:val="24"/>
        </w:rPr>
        <w:t>学生干部加分</w:t>
      </w:r>
      <w:r>
        <w:rPr>
          <w:rFonts w:hint="eastAsia" w:ascii="仿宋" w:hAnsi="仿宋" w:eastAsia="仿宋"/>
          <w:color w:val="000000"/>
          <w:sz w:val="24"/>
          <w:szCs w:val="24"/>
          <w:shd w:val="clear" w:color="auto" w:fill="FFFFFF"/>
        </w:rPr>
        <w:t>。</w:t>
      </w:r>
      <w:r>
        <w:rPr>
          <w:rFonts w:ascii="仿宋" w:hAnsi="仿宋" w:eastAsia="仿宋"/>
          <w:color w:val="000000"/>
          <w:sz w:val="24"/>
          <w:szCs w:val="24"/>
          <w:shd w:val="clear" w:color="auto" w:fill="FFFFFF"/>
        </w:rPr>
        <w:br w:type="textWrapping"/>
      </w:r>
      <w:r>
        <w:rPr>
          <w:rFonts w:ascii="仿宋" w:hAnsi="仿宋" w:eastAsia="仿宋"/>
          <w:color w:val="000000"/>
          <w:sz w:val="24"/>
          <w:szCs w:val="24"/>
          <w:shd w:val="clear" w:color="auto" w:fill="FFFFFF"/>
        </w:rPr>
        <w:t xml:space="preserve">     </w:t>
      </w:r>
      <w:r>
        <w:rPr>
          <w:rFonts w:hint="eastAsia" w:ascii="仿宋" w:hAnsi="仿宋" w:eastAsia="仿宋"/>
          <w:color w:val="000000"/>
          <w:sz w:val="24"/>
          <w:szCs w:val="24"/>
          <w:shd w:val="clear" w:color="auto" w:fill="FFFFFF"/>
        </w:rPr>
        <w:t>已在获评研究生国家奖学金或学业奖学金时使用过的加分项目，本次不加分。</w:t>
      </w:r>
    </w:p>
    <w:p>
      <w:pPr>
        <w:widowControl/>
        <w:shd w:val="clear" w:color="auto" w:fill="FFFFFF"/>
        <w:spacing w:line="360" w:lineRule="auto"/>
        <w:ind w:firstLine="482" w:firstLineChars="200"/>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（二）科研分</w:t>
      </w:r>
      <w:r>
        <w:rPr>
          <w:rFonts w:ascii="仿宋" w:hAnsi="仿宋" w:eastAsia="仿宋" w:cs="宋体"/>
          <w:b/>
          <w:color w:val="000000"/>
          <w:kern w:val="0"/>
          <w:sz w:val="24"/>
          <w:szCs w:val="24"/>
        </w:rPr>
        <w:t>(</w:t>
      </w:r>
      <w:r>
        <w:rPr>
          <w:rFonts w:hint="eastAsia" w:ascii="仿宋" w:hAnsi="仿宋" w:eastAsia="仿宋" w:cs="宋体"/>
          <w:b/>
          <w:color w:val="000000"/>
          <w:kern w:val="0"/>
          <w:sz w:val="24"/>
          <w:szCs w:val="24"/>
        </w:rPr>
        <w:t>最高</w:t>
      </w:r>
      <w:r>
        <w:rPr>
          <w:rFonts w:ascii="仿宋" w:hAnsi="仿宋" w:eastAsia="仿宋" w:cs="宋体"/>
          <w:b/>
          <w:color w:val="000000"/>
          <w:kern w:val="0"/>
          <w:sz w:val="24"/>
          <w:szCs w:val="24"/>
        </w:rPr>
        <w:t>80</w:t>
      </w:r>
      <w:r>
        <w:rPr>
          <w:rFonts w:hint="eastAsia" w:ascii="仿宋" w:hAnsi="仿宋" w:eastAsia="仿宋" w:cs="宋体"/>
          <w:b/>
          <w:color w:val="000000"/>
          <w:kern w:val="0"/>
          <w:sz w:val="24"/>
          <w:szCs w:val="24"/>
        </w:rPr>
        <w:t>分</w:t>
      </w:r>
      <w:r>
        <w:rPr>
          <w:rFonts w:ascii="仿宋" w:hAnsi="仿宋" w:eastAsia="仿宋" w:cs="宋体"/>
          <w:b/>
          <w:color w:val="000000"/>
          <w:kern w:val="0"/>
          <w:sz w:val="24"/>
          <w:szCs w:val="24"/>
        </w:rPr>
        <w:t>)</w:t>
      </w:r>
    </w:p>
    <w:p>
      <w:pPr>
        <w:widowControl/>
        <w:shd w:val="clear" w:color="auto" w:fill="FFFFFF"/>
        <w:spacing w:line="360" w:lineRule="auto"/>
        <w:ind w:firstLine="480" w:firstLineChars="200"/>
        <w:jc w:val="left"/>
        <w:rPr>
          <w:rFonts w:ascii="仿宋" w:hAnsi="仿宋" w:eastAsia="仿宋"/>
          <w:color w:val="000000"/>
          <w:sz w:val="24"/>
          <w:szCs w:val="24"/>
        </w:rPr>
      </w:pPr>
      <w:r>
        <w:rPr>
          <w:rFonts w:hint="eastAsia" w:ascii="仿宋" w:hAnsi="仿宋" w:eastAsia="仿宋" w:cs="宋体"/>
          <w:color w:val="000000"/>
          <w:kern w:val="0"/>
          <w:sz w:val="24"/>
          <w:szCs w:val="24"/>
        </w:rPr>
        <w:t>科研考核可包括自本阶</w:t>
      </w:r>
      <w:r>
        <w:rPr>
          <w:rFonts w:hint="eastAsia" w:ascii="仿宋" w:hAnsi="仿宋" w:eastAsia="仿宋"/>
          <w:color w:val="000000"/>
          <w:sz w:val="24"/>
          <w:szCs w:val="24"/>
        </w:rPr>
        <w:t>段研究生入学之日起以下项目：学术论文、专著、科研项目、专利、竞赛、科研获奖、有论文交流的学术会议等。科研考核所确定的成绩需进一步“归一化”处理，具体计算方法如下：</w:t>
      </w:r>
    </w:p>
    <w:p>
      <w:pPr>
        <w:pStyle w:val="7"/>
        <w:spacing w:before="0" w:beforeAutospacing="0" w:after="0" w:afterAutospacing="0" w:line="360" w:lineRule="auto"/>
        <w:ind w:firstLine="480" w:firstLineChars="200"/>
        <w:rPr>
          <w:rFonts w:ascii="仿宋" w:hAnsi="仿宋" w:eastAsia="仿宋"/>
          <w:color w:val="000000"/>
        </w:rPr>
      </w:pPr>
      <w:r>
        <w:rPr>
          <w:rFonts w:hint="eastAsia" w:ascii="仿宋" w:hAnsi="仿宋" w:eastAsia="仿宋"/>
          <w:color w:val="000000"/>
        </w:rPr>
        <w:t>以参评研究生中科研最高分为标准按</w:t>
      </w:r>
      <w:r>
        <w:rPr>
          <w:rFonts w:ascii="仿宋" w:hAnsi="仿宋" w:eastAsia="仿宋"/>
          <w:color w:val="000000"/>
        </w:rPr>
        <w:t>80</w:t>
      </w:r>
      <w:r>
        <w:rPr>
          <w:rFonts w:hint="eastAsia" w:ascii="仿宋" w:hAnsi="仿宋" w:eastAsia="仿宋"/>
          <w:color w:val="000000"/>
        </w:rPr>
        <w:t>分“归一化”折算出每位研究生科研分，分值按四舍五入保留</w:t>
      </w:r>
      <w:r>
        <w:rPr>
          <w:rFonts w:ascii="仿宋" w:hAnsi="仿宋" w:eastAsia="仿宋"/>
          <w:color w:val="000000"/>
        </w:rPr>
        <w:t>1</w:t>
      </w:r>
      <w:r>
        <w:rPr>
          <w:rFonts w:hint="eastAsia" w:ascii="仿宋" w:hAnsi="仿宋" w:eastAsia="仿宋"/>
          <w:color w:val="000000"/>
        </w:rPr>
        <w:t>位小数。例如，有</w:t>
      </w:r>
      <w:r>
        <w:rPr>
          <w:rFonts w:ascii="仿宋" w:hAnsi="仿宋" w:eastAsia="仿宋"/>
          <w:color w:val="000000"/>
        </w:rPr>
        <w:t>20</w:t>
      </w:r>
      <w:r>
        <w:rPr>
          <w:rFonts w:hint="eastAsia" w:ascii="仿宋" w:hAnsi="仿宋" w:eastAsia="仿宋"/>
          <w:color w:val="000000"/>
        </w:rPr>
        <w:t>名研究生参评，其中学生甲科研最好，假定其科研累积分为</w:t>
      </w:r>
      <w:r>
        <w:rPr>
          <w:rFonts w:ascii="仿宋" w:hAnsi="仿宋" w:eastAsia="仿宋"/>
          <w:color w:val="000000"/>
        </w:rPr>
        <w:t>135</w:t>
      </w:r>
      <w:r>
        <w:rPr>
          <w:rFonts w:hint="eastAsia" w:ascii="仿宋" w:hAnsi="仿宋" w:eastAsia="仿宋"/>
          <w:color w:val="000000"/>
        </w:rPr>
        <w:t>分，学生乙较弱，假定其科研累积分为</w:t>
      </w:r>
      <w:r>
        <w:rPr>
          <w:rFonts w:ascii="仿宋" w:hAnsi="仿宋" w:eastAsia="仿宋"/>
          <w:color w:val="000000"/>
        </w:rPr>
        <w:t>85</w:t>
      </w:r>
      <w:r>
        <w:rPr>
          <w:rFonts w:hint="eastAsia" w:ascii="仿宋" w:hAnsi="仿宋" w:eastAsia="仿宋"/>
          <w:color w:val="000000"/>
        </w:rPr>
        <w:t>分，那么通过折算，学生甲的科研分为</w:t>
      </w:r>
      <w:r>
        <w:rPr>
          <w:rFonts w:ascii="仿宋" w:hAnsi="仿宋" w:eastAsia="仿宋"/>
          <w:color w:val="000000"/>
        </w:rPr>
        <w:t xml:space="preserve"> 135</w:t>
      </w:r>
      <w:r>
        <w:rPr>
          <w:rFonts w:hint="eastAsia" w:ascii="仿宋" w:hAnsi="仿宋" w:eastAsia="仿宋" w:cs="Arial"/>
          <w:color w:val="000000"/>
          <w:shd w:val="clear" w:color="auto" w:fill="FFFFFF"/>
        </w:rPr>
        <w:t>÷</w:t>
      </w:r>
      <w:r>
        <w:rPr>
          <w:rFonts w:ascii="仿宋" w:hAnsi="仿宋" w:eastAsia="仿宋"/>
          <w:color w:val="000000"/>
        </w:rPr>
        <w:t>135*80=80</w:t>
      </w:r>
      <w:r>
        <w:rPr>
          <w:rFonts w:hint="eastAsia" w:ascii="仿宋" w:hAnsi="仿宋" w:eastAsia="仿宋"/>
          <w:color w:val="000000"/>
        </w:rPr>
        <w:t>分，学生乙的科研分为</w:t>
      </w:r>
      <w:r>
        <w:rPr>
          <w:rFonts w:ascii="仿宋" w:hAnsi="仿宋" w:eastAsia="仿宋"/>
          <w:color w:val="000000"/>
        </w:rPr>
        <w:t>85</w:t>
      </w:r>
      <w:r>
        <w:rPr>
          <w:rFonts w:hint="eastAsia" w:ascii="仿宋" w:hAnsi="仿宋" w:eastAsia="仿宋" w:cs="Arial"/>
          <w:color w:val="000000"/>
          <w:shd w:val="clear" w:color="auto" w:fill="FFFFFF"/>
        </w:rPr>
        <w:t>÷</w:t>
      </w:r>
      <w:r>
        <w:rPr>
          <w:rFonts w:ascii="仿宋" w:hAnsi="仿宋" w:eastAsia="仿宋"/>
          <w:color w:val="000000"/>
        </w:rPr>
        <w:t>135*80</w:t>
      </w:r>
      <w:r>
        <w:rPr>
          <w:rFonts w:hint="eastAsia" w:ascii="仿宋" w:hAnsi="仿宋" w:eastAsia="仿宋"/>
          <w:color w:val="000000"/>
        </w:rPr>
        <w:t>≈</w:t>
      </w:r>
      <w:r>
        <w:rPr>
          <w:rFonts w:ascii="仿宋" w:hAnsi="仿宋" w:eastAsia="仿宋"/>
          <w:color w:val="000000"/>
        </w:rPr>
        <w:t>50.4</w:t>
      </w:r>
      <w:r>
        <w:rPr>
          <w:rFonts w:hint="eastAsia" w:ascii="仿宋" w:hAnsi="仿宋" w:eastAsia="仿宋"/>
          <w:color w:val="000000"/>
        </w:rPr>
        <w:t>分。</w:t>
      </w:r>
    </w:p>
    <w:p>
      <w:pPr>
        <w:widowControl/>
        <w:shd w:val="clear" w:color="auto" w:fill="FFFFFF"/>
        <w:spacing w:line="360" w:lineRule="auto"/>
        <w:ind w:firstLine="482" w:firstLineChars="200"/>
        <w:jc w:val="left"/>
        <w:rPr>
          <w:rFonts w:ascii="仿宋" w:hAnsi="仿宋" w:eastAsia="仿宋" w:cs="宋体"/>
          <w:b/>
          <w:color w:val="000000"/>
          <w:kern w:val="0"/>
          <w:sz w:val="24"/>
          <w:szCs w:val="24"/>
        </w:rPr>
      </w:pPr>
      <w:r>
        <w:rPr>
          <w:rFonts w:hint="eastAsia" w:ascii="仿宋" w:hAnsi="仿宋" w:eastAsia="仿宋"/>
          <w:b/>
          <w:color w:val="000000"/>
          <w:sz w:val="24"/>
          <w:szCs w:val="24"/>
          <w:shd w:val="clear" w:color="auto" w:fill="FFFFFF"/>
        </w:rPr>
        <w:t>注：已在获评研究生国家奖学金或学业奖学金时使用过的科研加分项目，本次不加分。</w:t>
      </w:r>
    </w:p>
    <w:p>
      <w:pPr>
        <w:widowControl/>
        <w:shd w:val="clear" w:color="auto" w:fill="FFFFFF"/>
        <w:spacing w:line="360" w:lineRule="auto"/>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 xml:space="preserve">1. </w:t>
      </w:r>
      <w:r>
        <w:rPr>
          <w:rFonts w:hint="eastAsia" w:ascii="仿宋" w:hAnsi="仿宋" w:eastAsia="仿宋" w:cs="宋体"/>
          <w:color w:val="000000"/>
          <w:kern w:val="0"/>
          <w:sz w:val="24"/>
          <w:szCs w:val="24"/>
        </w:rPr>
        <w:t>学术论文</w:t>
      </w:r>
    </w:p>
    <w:p>
      <w:pPr>
        <w:widowControl/>
        <w:shd w:val="clear" w:color="auto" w:fill="FFFFFF"/>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在读期间发表的学术论文（见刊，字数在</w:t>
      </w:r>
      <w:r>
        <w:rPr>
          <w:rFonts w:ascii="仿宋" w:hAnsi="仿宋" w:eastAsia="仿宋" w:cs="宋体"/>
          <w:color w:val="000000"/>
          <w:kern w:val="0"/>
          <w:sz w:val="24"/>
          <w:szCs w:val="24"/>
        </w:rPr>
        <w:t>2000</w:t>
      </w:r>
      <w:r>
        <w:rPr>
          <w:rFonts w:hint="eastAsia" w:ascii="仿宋" w:hAnsi="仿宋" w:eastAsia="仿宋" w:cs="宋体"/>
          <w:color w:val="000000"/>
          <w:kern w:val="0"/>
          <w:sz w:val="24"/>
          <w:szCs w:val="24"/>
        </w:rPr>
        <w:t>字以上（包括</w:t>
      </w:r>
      <w:r>
        <w:rPr>
          <w:rFonts w:ascii="仿宋" w:hAnsi="仿宋" w:eastAsia="仿宋" w:cs="宋体"/>
          <w:color w:val="000000"/>
          <w:kern w:val="0"/>
          <w:sz w:val="24"/>
          <w:szCs w:val="24"/>
        </w:rPr>
        <w:t>2000</w:t>
      </w:r>
      <w:r>
        <w:rPr>
          <w:rFonts w:hint="eastAsia" w:ascii="仿宋" w:hAnsi="仿宋" w:eastAsia="仿宋" w:cs="宋体"/>
          <w:color w:val="000000"/>
          <w:kern w:val="0"/>
          <w:sz w:val="24"/>
          <w:szCs w:val="24"/>
        </w:rPr>
        <w:t>字）），第一署名单位为辽宁师范大学，导师（本阶段本人第一指导教师）除外，前</w:t>
      </w: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位作者有效。按作者排序，得分权重分别为：一位作者</w:t>
      </w:r>
      <w:r>
        <w:rPr>
          <w:rFonts w:ascii="仿宋" w:hAnsi="仿宋" w:eastAsia="仿宋" w:cs="宋体"/>
          <w:color w:val="000000"/>
          <w:kern w:val="0"/>
          <w:sz w:val="24"/>
          <w:szCs w:val="24"/>
        </w:rPr>
        <w:t>100%</w:t>
      </w:r>
      <w:r>
        <w:rPr>
          <w:rFonts w:hint="eastAsia" w:ascii="仿宋" w:hAnsi="仿宋" w:eastAsia="仿宋" w:cs="宋体"/>
          <w:color w:val="000000"/>
          <w:kern w:val="0"/>
          <w:sz w:val="24"/>
          <w:szCs w:val="24"/>
        </w:rPr>
        <w:t>；二位作者</w:t>
      </w:r>
      <w:r>
        <w:rPr>
          <w:rFonts w:ascii="仿宋" w:hAnsi="仿宋" w:eastAsia="仿宋" w:cs="宋体"/>
          <w:color w:val="000000"/>
          <w:kern w:val="0"/>
          <w:sz w:val="24"/>
          <w:szCs w:val="24"/>
        </w:rPr>
        <w:t>70%</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30%</w:t>
      </w:r>
      <w:r>
        <w:rPr>
          <w:rFonts w:hint="eastAsia" w:ascii="仿宋" w:hAnsi="仿宋" w:eastAsia="仿宋" w:cs="宋体"/>
          <w:color w:val="000000"/>
          <w:kern w:val="0"/>
          <w:sz w:val="24"/>
          <w:szCs w:val="24"/>
        </w:rPr>
        <w:t>；三位作者</w:t>
      </w:r>
      <w:r>
        <w:rPr>
          <w:rFonts w:ascii="仿宋" w:hAnsi="仿宋" w:eastAsia="仿宋" w:cs="宋体"/>
          <w:color w:val="000000"/>
          <w:kern w:val="0"/>
          <w:sz w:val="24"/>
          <w:szCs w:val="24"/>
        </w:rPr>
        <w:t>50%</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30%</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20%</w:t>
      </w:r>
      <w:r>
        <w:rPr>
          <w:rFonts w:hint="eastAsia" w:ascii="仿宋" w:hAnsi="仿宋" w:eastAsia="仿宋" w:cs="宋体"/>
          <w:color w:val="000000"/>
          <w:kern w:val="0"/>
          <w:sz w:val="24"/>
          <w:szCs w:val="24"/>
        </w:rPr>
        <w:t>。论文等级标准参见</w:t>
      </w:r>
      <w:r>
        <w:rPr>
          <w:rFonts w:hint="eastAsia" w:ascii="仿宋" w:hAnsi="仿宋" w:eastAsia="仿宋"/>
          <w:color w:val="000000"/>
          <w:sz w:val="24"/>
          <w:szCs w:val="24"/>
        </w:rPr>
        <w:t>学校科研处关于期刊等级的认定标准。文章篇数限制：发表在非</w:t>
      </w:r>
      <w:r>
        <w:rPr>
          <w:rFonts w:ascii="仿宋" w:hAnsi="仿宋" w:eastAsia="仿宋"/>
          <w:color w:val="000000"/>
          <w:sz w:val="24"/>
          <w:szCs w:val="24"/>
        </w:rPr>
        <w:t>CSCD</w:t>
      </w:r>
      <w:r>
        <w:rPr>
          <w:rFonts w:hint="eastAsia" w:ascii="仿宋" w:hAnsi="仿宋" w:eastAsia="仿宋"/>
          <w:color w:val="000000"/>
          <w:sz w:val="24"/>
          <w:szCs w:val="24"/>
        </w:rPr>
        <w:t>、</w:t>
      </w:r>
      <w:r>
        <w:rPr>
          <w:rFonts w:ascii="仿宋" w:hAnsi="仿宋" w:eastAsia="仿宋"/>
          <w:color w:val="000000"/>
          <w:sz w:val="24"/>
          <w:szCs w:val="24"/>
        </w:rPr>
        <w:t>CSSCI</w:t>
      </w:r>
      <w:r>
        <w:rPr>
          <w:rFonts w:hint="eastAsia" w:ascii="仿宋" w:hAnsi="仿宋" w:eastAsia="仿宋"/>
          <w:color w:val="000000"/>
          <w:sz w:val="24"/>
          <w:szCs w:val="24"/>
        </w:rPr>
        <w:t>以及北大核心期刊上的</w:t>
      </w:r>
      <w:r>
        <w:rPr>
          <w:rFonts w:ascii="仿宋" w:hAnsi="仿宋" w:eastAsia="仿宋"/>
          <w:color w:val="000000"/>
          <w:sz w:val="24"/>
          <w:szCs w:val="24"/>
        </w:rPr>
        <w:t>C</w:t>
      </w:r>
      <w:r>
        <w:rPr>
          <w:rFonts w:hint="eastAsia" w:ascii="仿宋" w:hAnsi="仿宋" w:eastAsia="仿宋"/>
          <w:color w:val="000000"/>
          <w:sz w:val="24"/>
          <w:szCs w:val="24"/>
        </w:rPr>
        <w:t>类文章最多两篇，</w:t>
      </w:r>
      <w:r>
        <w:rPr>
          <w:rFonts w:ascii="仿宋" w:hAnsi="仿宋" w:eastAsia="仿宋"/>
          <w:color w:val="000000"/>
          <w:sz w:val="24"/>
          <w:szCs w:val="24"/>
        </w:rPr>
        <w:t>D</w:t>
      </w:r>
      <w:r>
        <w:rPr>
          <w:rFonts w:hint="eastAsia" w:ascii="仿宋" w:hAnsi="仿宋" w:eastAsia="仿宋"/>
          <w:color w:val="000000"/>
          <w:sz w:val="24"/>
          <w:szCs w:val="24"/>
        </w:rPr>
        <w:t>类文章最多两篇。</w:t>
      </w:r>
      <w:r>
        <w:rPr>
          <w:rFonts w:hint="eastAsia" w:ascii="仿宋" w:hAnsi="仿宋" w:eastAsia="仿宋" w:cs="宋体"/>
          <w:color w:val="000000"/>
          <w:kern w:val="0"/>
          <w:sz w:val="24"/>
          <w:szCs w:val="24"/>
        </w:rPr>
        <w:t>加分标准：</w:t>
      </w:r>
    </w:p>
    <w:p>
      <w:pPr>
        <w:widowControl/>
        <w:shd w:val="clear" w:color="auto" w:fill="FFFFFF"/>
        <w:spacing w:line="360" w:lineRule="auto"/>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A</w:t>
      </w:r>
      <w:r>
        <w:rPr>
          <w:rFonts w:hint="eastAsia" w:ascii="仿宋" w:hAnsi="仿宋" w:eastAsia="仿宋" w:cs="宋体"/>
          <w:color w:val="000000"/>
          <w:kern w:val="0"/>
          <w:sz w:val="24"/>
          <w:szCs w:val="24"/>
        </w:rPr>
        <w:t>类期刊</w:t>
      </w:r>
      <w:r>
        <w:rPr>
          <w:rFonts w:ascii="仿宋" w:hAnsi="仿宋" w:eastAsia="仿宋" w:cs="宋体"/>
          <w:color w:val="000000"/>
          <w:kern w:val="0"/>
          <w:sz w:val="24"/>
          <w:szCs w:val="24"/>
        </w:rPr>
        <w:t xml:space="preserve"> 15</w:t>
      </w:r>
      <w:r>
        <w:rPr>
          <w:rFonts w:hint="eastAsia" w:ascii="仿宋" w:hAnsi="仿宋" w:eastAsia="仿宋" w:cs="宋体"/>
          <w:color w:val="000000"/>
          <w:kern w:val="0"/>
          <w:sz w:val="24"/>
          <w:szCs w:val="24"/>
        </w:rPr>
        <w:t>分；</w:t>
      </w:r>
      <w:r>
        <w:rPr>
          <w:rFonts w:ascii="仿宋" w:hAnsi="仿宋" w:eastAsia="仿宋" w:cs="宋体"/>
          <w:color w:val="000000"/>
          <w:kern w:val="0"/>
          <w:sz w:val="24"/>
          <w:szCs w:val="24"/>
        </w:rPr>
        <w:t>B</w:t>
      </w:r>
      <w:r>
        <w:rPr>
          <w:rFonts w:hint="eastAsia" w:ascii="仿宋" w:hAnsi="仿宋" w:eastAsia="仿宋" w:cs="宋体"/>
          <w:color w:val="000000"/>
          <w:kern w:val="0"/>
          <w:sz w:val="24"/>
          <w:szCs w:val="24"/>
        </w:rPr>
        <w:t>类期刊</w:t>
      </w:r>
      <w:r>
        <w:rPr>
          <w:rFonts w:ascii="仿宋" w:hAnsi="仿宋" w:eastAsia="仿宋" w:cs="宋体"/>
          <w:color w:val="000000"/>
          <w:kern w:val="0"/>
          <w:sz w:val="24"/>
          <w:szCs w:val="24"/>
        </w:rPr>
        <w:t>10</w:t>
      </w:r>
      <w:r>
        <w:rPr>
          <w:rFonts w:hint="eastAsia" w:ascii="仿宋" w:hAnsi="仿宋" w:eastAsia="仿宋" w:cs="宋体"/>
          <w:color w:val="000000"/>
          <w:kern w:val="0"/>
          <w:sz w:val="24"/>
          <w:szCs w:val="24"/>
        </w:rPr>
        <w:t>分；</w:t>
      </w:r>
      <w:r>
        <w:rPr>
          <w:rFonts w:ascii="仿宋" w:hAnsi="仿宋" w:eastAsia="仿宋" w:cs="宋体"/>
          <w:color w:val="000000"/>
          <w:kern w:val="0"/>
          <w:sz w:val="24"/>
          <w:szCs w:val="24"/>
        </w:rPr>
        <w:t>C</w:t>
      </w:r>
      <w:r>
        <w:rPr>
          <w:rFonts w:hint="eastAsia" w:ascii="仿宋" w:hAnsi="仿宋" w:eastAsia="仿宋" w:cs="宋体"/>
          <w:color w:val="000000"/>
          <w:kern w:val="0"/>
          <w:sz w:val="24"/>
          <w:szCs w:val="24"/>
        </w:rPr>
        <w:t>类期刊</w:t>
      </w:r>
      <w:r>
        <w:rPr>
          <w:rFonts w:ascii="仿宋" w:hAnsi="仿宋" w:eastAsia="仿宋" w:cs="宋体"/>
          <w:color w:val="000000"/>
          <w:kern w:val="0"/>
          <w:sz w:val="24"/>
          <w:szCs w:val="24"/>
        </w:rPr>
        <w:t>4</w:t>
      </w:r>
      <w:r>
        <w:rPr>
          <w:rFonts w:hint="eastAsia" w:ascii="仿宋" w:hAnsi="仿宋" w:eastAsia="仿宋" w:cs="宋体"/>
          <w:color w:val="000000"/>
          <w:kern w:val="0"/>
          <w:sz w:val="24"/>
          <w:szCs w:val="24"/>
        </w:rPr>
        <w:t>分；</w:t>
      </w:r>
      <w:r>
        <w:rPr>
          <w:rFonts w:ascii="仿宋" w:hAnsi="仿宋" w:eastAsia="仿宋" w:cs="宋体"/>
          <w:color w:val="000000"/>
          <w:kern w:val="0"/>
          <w:sz w:val="24"/>
          <w:szCs w:val="24"/>
        </w:rPr>
        <w:t>D</w:t>
      </w:r>
      <w:r>
        <w:rPr>
          <w:rFonts w:hint="eastAsia" w:ascii="仿宋" w:hAnsi="仿宋" w:eastAsia="仿宋" w:cs="宋体"/>
          <w:color w:val="000000"/>
          <w:kern w:val="0"/>
          <w:sz w:val="24"/>
          <w:szCs w:val="24"/>
        </w:rPr>
        <w:t>类期刊</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分。</w:t>
      </w:r>
    </w:p>
    <w:p>
      <w:pPr>
        <w:widowControl/>
        <w:shd w:val="clear" w:color="auto" w:fill="FFFFFF"/>
        <w:spacing w:line="360" w:lineRule="auto"/>
        <w:ind w:firstLine="480" w:firstLineChars="200"/>
        <w:jc w:val="left"/>
        <w:rPr>
          <w:rFonts w:ascii="仿宋" w:hAnsi="仿宋" w:eastAsia="仿宋" w:cs="宋体"/>
          <w:color w:val="000000"/>
          <w:kern w:val="0"/>
          <w:sz w:val="24"/>
          <w:szCs w:val="24"/>
        </w:rPr>
      </w:pPr>
      <w:r>
        <w:rPr>
          <w:rFonts w:ascii="仿宋" w:hAnsi="仿宋" w:eastAsia="仿宋" w:cs="宋体"/>
          <w:bCs/>
          <w:color w:val="000000"/>
          <w:kern w:val="0"/>
          <w:sz w:val="24"/>
          <w:szCs w:val="24"/>
        </w:rPr>
        <w:t>2</w:t>
      </w:r>
      <w:r>
        <w:rPr>
          <w:rFonts w:hint="eastAsia" w:ascii="仿宋" w:hAnsi="仿宋" w:eastAsia="仿宋" w:cs="宋体"/>
          <w:bCs/>
          <w:color w:val="000000"/>
          <w:kern w:val="0"/>
          <w:sz w:val="24"/>
          <w:szCs w:val="24"/>
        </w:rPr>
        <w:t>．</w:t>
      </w:r>
      <w:r>
        <w:rPr>
          <w:rFonts w:hint="eastAsia" w:ascii="仿宋" w:hAnsi="仿宋" w:eastAsia="仿宋" w:cs="宋体"/>
          <w:color w:val="000000"/>
          <w:kern w:val="0"/>
          <w:sz w:val="24"/>
          <w:szCs w:val="24"/>
        </w:rPr>
        <w:t>科研项目</w:t>
      </w:r>
    </w:p>
    <w:p>
      <w:pPr>
        <w:widowControl/>
        <w:shd w:val="clear" w:color="auto" w:fill="FFFFFF"/>
        <w:spacing w:line="360" w:lineRule="auto"/>
        <w:ind w:firstLine="360" w:firstLineChars="150"/>
        <w:jc w:val="left"/>
        <w:rPr>
          <w:rFonts w:ascii="仿宋" w:hAnsi="仿宋" w:eastAsia="仿宋" w:cs="宋体"/>
          <w:color w:val="000000"/>
          <w:kern w:val="0"/>
          <w:sz w:val="24"/>
          <w:szCs w:val="24"/>
        </w:rPr>
      </w:pP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参加省（部）、市级科研课题获批者（含教育厅），在项目结题证书上，排名</w:t>
      </w:r>
      <w:r>
        <w:rPr>
          <w:rFonts w:ascii="仿宋" w:hAnsi="仿宋" w:eastAsia="仿宋" w:cs="宋体"/>
          <w:color w:val="000000"/>
          <w:kern w:val="0"/>
          <w:sz w:val="24"/>
          <w:szCs w:val="24"/>
        </w:rPr>
        <w:t>5</w:t>
      </w:r>
      <w:r>
        <w:rPr>
          <w:rFonts w:hint="eastAsia" w:ascii="仿宋" w:hAnsi="仿宋" w:eastAsia="仿宋" w:cs="宋体"/>
          <w:color w:val="000000"/>
          <w:kern w:val="0"/>
          <w:sz w:val="24"/>
          <w:szCs w:val="24"/>
        </w:rPr>
        <w:t>名以内加</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分；</w:t>
      </w:r>
      <w:r>
        <w:rPr>
          <w:rFonts w:ascii="仿宋" w:hAnsi="仿宋" w:eastAsia="仿宋" w:cs="宋体"/>
          <w:color w:val="000000"/>
          <w:kern w:val="0"/>
          <w:sz w:val="24"/>
          <w:szCs w:val="24"/>
        </w:rPr>
        <w:t>6</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10</w:t>
      </w:r>
      <w:r>
        <w:rPr>
          <w:rFonts w:hint="eastAsia" w:ascii="仿宋" w:hAnsi="仿宋" w:eastAsia="仿宋" w:cs="宋体"/>
          <w:color w:val="000000"/>
          <w:kern w:val="0"/>
          <w:sz w:val="24"/>
          <w:szCs w:val="24"/>
        </w:rPr>
        <w:t>名加</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分；没有结题的项目，可参照上述赋分方法按合同书（或申请书）上的排名进行加分。</w:t>
      </w:r>
    </w:p>
    <w:p>
      <w:pPr>
        <w:widowControl/>
        <w:shd w:val="clear" w:color="auto" w:fill="FFFFFF"/>
        <w:spacing w:line="360" w:lineRule="auto"/>
        <w:ind w:firstLine="240" w:firstLineChars="100"/>
        <w:jc w:val="left"/>
        <w:rPr>
          <w:rFonts w:ascii="仿宋" w:hAnsi="仿宋" w:eastAsia="仿宋" w:cs="宋体"/>
          <w:color w:val="000000"/>
          <w:kern w:val="0"/>
          <w:sz w:val="24"/>
          <w:szCs w:val="24"/>
        </w:rPr>
      </w:pPr>
      <w:r>
        <w:rPr>
          <w:rFonts w:ascii="仿宋" w:hAnsi="仿宋" w:eastAsia="仿宋" w:cs="宋体"/>
          <w:color w:val="000000"/>
          <w:kern w:val="0"/>
          <w:sz w:val="24"/>
          <w:szCs w:val="24"/>
        </w:rPr>
        <w:t xml:space="preserve"> (2)</w:t>
      </w:r>
      <w:r>
        <w:rPr>
          <w:rFonts w:hint="eastAsia" w:ascii="仿宋" w:hAnsi="仿宋" w:eastAsia="仿宋" w:cs="宋体"/>
          <w:color w:val="000000"/>
          <w:kern w:val="0"/>
          <w:sz w:val="24"/>
          <w:szCs w:val="24"/>
        </w:rPr>
        <w:t>参加国家级科研课题的，得分在省级课题得分基础上乘以</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w:t>
      </w:r>
    </w:p>
    <w:p>
      <w:pPr>
        <w:widowControl/>
        <w:shd w:val="clear" w:color="auto" w:fill="FFFFFF"/>
        <w:spacing w:line="360" w:lineRule="auto"/>
        <w:ind w:firstLine="360" w:firstLineChars="150"/>
        <w:jc w:val="left"/>
        <w:rPr>
          <w:rFonts w:ascii="仿宋" w:hAnsi="仿宋" w:eastAsia="仿宋" w:cs="宋体"/>
          <w:color w:val="000000"/>
          <w:kern w:val="0"/>
          <w:sz w:val="24"/>
          <w:szCs w:val="24"/>
        </w:rPr>
      </w:pP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主持学校研究生创新基金资助项目加</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分；</w:t>
      </w:r>
    </w:p>
    <w:p>
      <w:pPr>
        <w:widowControl/>
        <w:shd w:val="clear" w:color="auto" w:fill="FFFFFF"/>
        <w:spacing w:line="360" w:lineRule="auto"/>
        <w:ind w:firstLine="360" w:firstLineChars="150"/>
        <w:jc w:val="left"/>
        <w:rPr>
          <w:rFonts w:ascii="仿宋" w:hAnsi="仿宋" w:eastAsia="仿宋" w:cs="宋体"/>
          <w:color w:val="000000"/>
          <w:kern w:val="0"/>
          <w:sz w:val="24"/>
          <w:szCs w:val="24"/>
        </w:rPr>
      </w:pPr>
      <w:r>
        <w:rPr>
          <w:rFonts w:ascii="仿宋" w:hAnsi="仿宋" w:eastAsia="仿宋" w:cs="宋体"/>
          <w:color w:val="000000"/>
          <w:kern w:val="0"/>
          <w:sz w:val="24"/>
          <w:szCs w:val="24"/>
        </w:rPr>
        <w:t>(4)</w:t>
      </w:r>
      <w:r>
        <w:rPr>
          <w:rFonts w:hint="eastAsia" w:ascii="仿宋" w:hAnsi="仿宋" w:eastAsia="仿宋" w:cs="宋体"/>
          <w:color w:val="000000"/>
          <w:kern w:val="0"/>
          <w:sz w:val="24"/>
          <w:szCs w:val="24"/>
        </w:rPr>
        <w:t>科研项目等级存在争议的，由学院学术委员会参照科研处规定认定。</w:t>
      </w:r>
    </w:p>
    <w:p>
      <w:pPr>
        <w:widowControl/>
        <w:shd w:val="clear" w:color="auto" w:fill="FFFFFF"/>
        <w:spacing w:line="360" w:lineRule="auto"/>
        <w:ind w:firstLine="480" w:firstLineChars="200"/>
        <w:jc w:val="left"/>
        <w:rPr>
          <w:rFonts w:ascii="仿宋" w:hAnsi="仿宋" w:eastAsia="仿宋" w:cs="宋体"/>
          <w:bCs/>
          <w:color w:val="000000"/>
          <w:kern w:val="0"/>
          <w:sz w:val="24"/>
          <w:szCs w:val="24"/>
        </w:rPr>
      </w:pPr>
      <w:r>
        <w:rPr>
          <w:rFonts w:ascii="仿宋" w:hAnsi="仿宋" w:eastAsia="仿宋" w:cs="宋体"/>
          <w:bCs/>
          <w:color w:val="000000"/>
          <w:kern w:val="0"/>
          <w:sz w:val="24"/>
          <w:szCs w:val="24"/>
        </w:rPr>
        <w:t>3.</w:t>
      </w:r>
      <w:r>
        <w:rPr>
          <w:rFonts w:hint="eastAsia" w:ascii="仿宋" w:hAnsi="仿宋" w:eastAsia="仿宋" w:cs="宋体"/>
          <w:bCs/>
          <w:color w:val="000000"/>
          <w:kern w:val="0"/>
          <w:sz w:val="24"/>
          <w:szCs w:val="24"/>
        </w:rPr>
        <w:t>发明专利</w:t>
      </w:r>
    </w:p>
    <w:p>
      <w:pPr>
        <w:widowControl/>
        <w:shd w:val="clear" w:color="auto" w:fill="FFFFFF"/>
        <w:spacing w:line="360" w:lineRule="auto"/>
        <w:ind w:firstLine="360" w:firstLineChars="150"/>
        <w:jc w:val="left"/>
        <w:rPr>
          <w:rFonts w:ascii="仿宋" w:hAnsi="仿宋" w:eastAsia="仿宋" w:cs="宋体"/>
          <w:color w:val="000000"/>
          <w:kern w:val="0"/>
          <w:sz w:val="24"/>
          <w:szCs w:val="24"/>
        </w:rPr>
      </w:pP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与专业相关的发明专利授权的加</w:t>
      </w:r>
      <w:r>
        <w:rPr>
          <w:rFonts w:ascii="仿宋" w:hAnsi="仿宋" w:eastAsia="仿宋" w:cs="宋体"/>
          <w:color w:val="000000"/>
          <w:kern w:val="0"/>
          <w:sz w:val="24"/>
          <w:szCs w:val="24"/>
        </w:rPr>
        <w:t>5</w:t>
      </w:r>
      <w:r>
        <w:rPr>
          <w:rFonts w:hint="eastAsia" w:ascii="仿宋" w:hAnsi="仿宋" w:eastAsia="仿宋" w:cs="宋体"/>
          <w:color w:val="000000"/>
          <w:kern w:val="0"/>
          <w:sz w:val="24"/>
          <w:szCs w:val="24"/>
        </w:rPr>
        <w:t>分；实用新型专利授权的加</w:t>
      </w: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分，获外观设计专利授权的加</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分；软件著作权授权的加</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分；</w:t>
      </w:r>
    </w:p>
    <w:p>
      <w:pPr>
        <w:widowControl/>
        <w:shd w:val="clear" w:color="auto" w:fill="FFFFFF"/>
        <w:spacing w:line="360" w:lineRule="auto"/>
        <w:ind w:firstLine="360" w:firstLineChars="150"/>
        <w:jc w:val="left"/>
        <w:rPr>
          <w:rFonts w:ascii="仿宋" w:hAnsi="仿宋" w:eastAsia="仿宋" w:cs="宋体"/>
          <w:color w:val="000000"/>
          <w:kern w:val="0"/>
          <w:sz w:val="24"/>
          <w:szCs w:val="24"/>
        </w:rPr>
      </w:pP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排名及得分权重参见“学术论文”条目。</w:t>
      </w:r>
    </w:p>
    <w:p>
      <w:pPr>
        <w:widowControl/>
        <w:shd w:val="clear" w:color="auto" w:fill="FFFFFF"/>
        <w:spacing w:line="360" w:lineRule="auto"/>
        <w:ind w:firstLine="480" w:firstLineChars="200"/>
        <w:jc w:val="left"/>
        <w:rPr>
          <w:rFonts w:ascii="仿宋" w:hAnsi="仿宋" w:eastAsia="仿宋" w:cs="宋体"/>
          <w:bCs/>
          <w:color w:val="000000"/>
          <w:kern w:val="0"/>
          <w:sz w:val="24"/>
          <w:szCs w:val="24"/>
        </w:rPr>
      </w:pPr>
      <w:r>
        <w:rPr>
          <w:rFonts w:ascii="仿宋" w:hAnsi="仿宋" w:eastAsia="仿宋" w:cs="宋体"/>
          <w:bCs/>
          <w:color w:val="000000"/>
          <w:kern w:val="0"/>
          <w:sz w:val="24"/>
          <w:szCs w:val="24"/>
        </w:rPr>
        <w:t>4.</w:t>
      </w:r>
      <w:r>
        <w:rPr>
          <w:rFonts w:hint="eastAsia" w:ascii="仿宋" w:hAnsi="仿宋" w:eastAsia="仿宋" w:cs="宋体"/>
          <w:bCs/>
          <w:color w:val="000000"/>
          <w:kern w:val="0"/>
          <w:sz w:val="24"/>
          <w:szCs w:val="24"/>
        </w:rPr>
        <w:t>竞赛</w:t>
      </w:r>
    </w:p>
    <w:p>
      <w:pPr>
        <w:widowControl/>
        <w:shd w:val="clear" w:color="auto" w:fill="FFFFFF"/>
        <w:spacing w:line="360" w:lineRule="auto"/>
        <w:ind w:firstLine="480" w:firstLineChars="20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代表我校参加政府主办的国家、省、市级技能大赛、科技创新、创业大赛等竞赛分别加</w:t>
      </w: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分，获奖者按</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等级，分别均追加</w:t>
      </w: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分。参赛人数超过</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人，个人得分按贡献大小分别计算。代表我校参加非政府主办的国家、省、市级技能大赛、科级创新等竞赛获奖者按</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等级，分别加</w:t>
      </w: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分，参赛人数超过</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人</w:t>
      </w:r>
      <w:r>
        <w:rPr>
          <w:rFonts w:hint="eastAsia" w:ascii="仿宋" w:hAnsi="仿宋" w:eastAsia="仿宋" w:cs="宋体"/>
          <w:color w:val="000000"/>
          <w:kern w:val="0"/>
          <w:sz w:val="24"/>
          <w:szCs w:val="24"/>
          <w:lang w:val="en-US" w:eastAsia="zh-CN"/>
        </w:rPr>
        <w:t>的平均分配</w:t>
      </w:r>
      <w:r>
        <w:rPr>
          <w:rFonts w:hint="eastAsia" w:ascii="仿宋" w:hAnsi="仿宋" w:eastAsia="仿宋" w:cs="宋体"/>
          <w:color w:val="000000"/>
          <w:kern w:val="0"/>
          <w:sz w:val="24"/>
          <w:szCs w:val="24"/>
        </w:rPr>
        <w:t>。</w:t>
      </w:r>
    </w:p>
    <w:p>
      <w:pPr>
        <w:widowControl/>
        <w:shd w:val="clear" w:color="auto" w:fill="FFFFFF"/>
        <w:spacing w:line="360" w:lineRule="auto"/>
        <w:ind w:firstLine="480" w:firstLineChars="200"/>
        <w:jc w:val="left"/>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竞赛类名单如下：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3593"/>
        <w:gridCol w:w="3031"/>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numPr>
                <w:ilvl w:val="0"/>
                <w:numId w:val="0"/>
              </w:numPr>
              <w:ind w:left="0" w:leftChars="0" w:firstLine="0" w:firstLineChars="0"/>
              <w:jc w:val="center"/>
              <w:rPr>
                <w:rFonts w:hint="default"/>
                <w:b/>
                <w:bCs/>
                <w:vertAlign w:val="baseline"/>
                <w:lang w:val="en-US" w:eastAsia="zh-CN"/>
              </w:rPr>
            </w:pPr>
            <w:r>
              <w:rPr>
                <w:rFonts w:hint="eastAsia"/>
                <w:b/>
                <w:bCs/>
                <w:vertAlign w:val="baseline"/>
                <w:lang w:val="en-US" w:eastAsia="zh-CN"/>
              </w:rPr>
              <w:t>序号</w:t>
            </w:r>
          </w:p>
        </w:tc>
        <w:tc>
          <w:tcPr>
            <w:tcW w:w="3593" w:type="dxa"/>
            <w:noWrap w:val="0"/>
            <w:vAlign w:val="center"/>
          </w:tcPr>
          <w:p>
            <w:pPr>
              <w:numPr>
                <w:ilvl w:val="0"/>
                <w:numId w:val="0"/>
              </w:numPr>
              <w:ind w:left="0" w:leftChars="0" w:firstLine="0" w:firstLineChars="0"/>
              <w:jc w:val="center"/>
              <w:rPr>
                <w:rFonts w:hint="default"/>
                <w:b/>
                <w:bCs/>
                <w:vertAlign w:val="baseline"/>
                <w:lang w:val="en-US" w:eastAsia="zh-CN"/>
              </w:rPr>
            </w:pPr>
            <w:r>
              <w:rPr>
                <w:rFonts w:hint="eastAsia"/>
                <w:b/>
                <w:bCs/>
                <w:vertAlign w:val="baseline"/>
                <w:lang w:val="en-US" w:eastAsia="zh-CN"/>
              </w:rPr>
              <w:t>竞赛名称</w:t>
            </w:r>
          </w:p>
        </w:tc>
        <w:tc>
          <w:tcPr>
            <w:tcW w:w="3031" w:type="dxa"/>
            <w:noWrap w:val="0"/>
            <w:vAlign w:val="center"/>
          </w:tcPr>
          <w:p>
            <w:pPr>
              <w:numPr>
                <w:ilvl w:val="0"/>
                <w:numId w:val="0"/>
              </w:numPr>
              <w:ind w:left="0" w:leftChars="0" w:firstLine="0" w:firstLineChars="0"/>
              <w:jc w:val="center"/>
              <w:rPr>
                <w:rFonts w:hint="default"/>
                <w:b/>
                <w:bCs/>
                <w:vertAlign w:val="baseline"/>
                <w:lang w:val="en-US" w:eastAsia="zh-CN"/>
              </w:rPr>
            </w:pPr>
            <w:r>
              <w:rPr>
                <w:rFonts w:hint="eastAsia"/>
                <w:b/>
                <w:bCs/>
                <w:vertAlign w:val="baseline"/>
                <w:lang w:val="en-US" w:eastAsia="zh-CN"/>
              </w:rPr>
              <w:t>主办单位</w:t>
            </w:r>
          </w:p>
        </w:tc>
        <w:tc>
          <w:tcPr>
            <w:tcW w:w="1231" w:type="dxa"/>
            <w:noWrap w:val="0"/>
            <w:vAlign w:val="center"/>
          </w:tcPr>
          <w:p>
            <w:pPr>
              <w:numPr>
                <w:ilvl w:val="0"/>
                <w:numId w:val="0"/>
              </w:numPr>
              <w:ind w:left="0" w:leftChars="0" w:firstLine="0" w:firstLineChars="0"/>
              <w:jc w:val="center"/>
              <w:rPr>
                <w:rFonts w:hint="default"/>
                <w:b/>
                <w:bCs/>
                <w:vertAlign w:val="baseline"/>
                <w:lang w:val="en-US" w:eastAsia="zh-CN"/>
              </w:rPr>
            </w:pPr>
            <w:r>
              <w:rPr>
                <w:rFonts w:hint="eastAsia"/>
                <w:b/>
                <w:bCs/>
                <w:vertAlign w:val="baseline"/>
                <w:lang w:val="en-US" w:eastAsia="zh-CN"/>
              </w:rPr>
              <w:t>竞赛级别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1</w:t>
            </w:r>
          </w:p>
        </w:tc>
        <w:tc>
          <w:tcPr>
            <w:tcW w:w="3593" w:type="dxa"/>
            <w:noWrap w:val="0"/>
            <w:vAlign w:val="center"/>
          </w:tcPr>
          <w:p>
            <w:pPr>
              <w:numPr>
                <w:ilvl w:val="0"/>
                <w:numId w:val="0"/>
              </w:numPr>
              <w:jc w:val="left"/>
              <w:rPr>
                <w:rFonts w:hint="default"/>
                <w:vertAlign w:val="baseline"/>
                <w:lang w:val="en-US" w:eastAsia="zh-CN"/>
              </w:rPr>
            </w:pPr>
            <w:r>
              <w:rPr>
                <w:rFonts w:hint="eastAsia"/>
                <w:vertAlign w:val="baseline"/>
                <w:lang w:val="en-US" w:eastAsia="zh-CN"/>
              </w:rPr>
              <w:t>全国全日制教育硕士教学技能大赛</w:t>
            </w:r>
          </w:p>
        </w:tc>
        <w:tc>
          <w:tcPr>
            <w:tcW w:w="3031" w:type="dxa"/>
            <w:noWrap w:val="0"/>
            <w:vAlign w:val="center"/>
          </w:tcPr>
          <w:p>
            <w:pPr>
              <w:numPr>
                <w:ilvl w:val="0"/>
                <w:numId w:val="0"/>
              </w:numPr>
              <w:jc w:val="left"/>
              <w:rPr>
                <w:rFonts w:hint="default"/>
                <w:vertAlign w:val="baseline"/>
                <w:lang w:val="en-US" w:eastAsia="zh-CN"/>
              </w:rPr>
            </w:pPr>
            <w:r>
              <w:rPr>
                <w:rFonts w:hint="eastAsia"/>
                <w:vertAlign w:val="baseline"/>
                <w:lang w:val="en-US" w:eastAsia="zh-CN"/>
              </w:rPr>
              <w:t>全国教育专业学位研究生教育指导委员会</w:t>
            </w:r>
          </w:p>
        </w:tc>
        <w:tc>
          <w:tcPr>
            <w:tcW w:w="1231"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2</w:t>
            </w:r>
          </w:p>
        </w:tc>
        <w:tc>
          <w:tcPr>
            <w:tcW w:w="3593" w:type="dxa"/>
            <w:noWrap w:val="0"/>
            <w:vAlign w:val="center"/>
          </w:tcPr>
          <w:p>
            <w:pPr>
              <w:numPr>
                <w:ilvl w:val="0"/>
                <w:numId w:val="0"/>
              </w:numPr>
              <w:jc w:val="left"/>
              <w:rPr>
                <w:rFonts w:hint="default"/>
                <w:vertAlign w:val="baseline"/>
                <w:lang w:val="en-US" w:eastAsia="zh-CN"/>
              </w:rPr>
            </w:pPr>
            <w:r>
              <w:rPr>
                <w:rFonts w:hint="eastAsia"/>
                <w:vertAlign w:val="baseline"/>
                <w:lang w:val="en-US" w:eastAsia="zh-CN"/>
              </w:rPr>
              <w:t>全国研究生数学建模竞赛</w:t>
            </w:r>
          </w:p>
        </w:tc>
        <w:tc>
          <w:tcPr>
            <w:tcW w:w="3031" w:type="dxa"/>
            <w:noWrap w:val="0"/>
            <w:vAlign w:val="center"/>
          </w:tcPr>
          <w:p>
            <w:pPr>
              <w:numPr>
                <w:ilvl w:val="0"/>
                <w:numId w:val="0"/>
              </w:numPr>
              <w:jc w:val="left"/>
              <w:rPr>
                <w:rFonts w:hint="default"/>
                <w:vertAlign w:val="baseline"/>
                <w:lang w:val="en-US" w:eastAsia="zh-CN"/>
              </w:rPr>
            </w:pPr>
            <w:r>
              <w:rPr>
                <w:rFonts w:hint="eastAsia"/>
                <w:vertAlign w:val="baseline"/>
                <w:lang w:val="en-US" w:eastAsia="zh-CN"/>
              </w:rPr>
              <w:t>教育部学位与研究生教育发展中心</w:t>
            </w:r>
          </w:p>
        </w:tc>
        <w:tc>
          <w:tcPr>
            <w:tcW w:w="1231"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3</w:t>
            </w:r>
          </w:p>
        </w:tc>
        <w:tc>
          <w:tcPr>
            <w:tcW w:w="3593" w:type="dxa"/>
            <w:noWrap w:val="0"/>
            <w:vAlign w:val="center"/>
          </w:tcPr>
          <w:p>
            <w:pPr>
              <w:numPr>
                <w:ilvl w:val="0"/>
                <w:numId w:val="0"/>
              </w:numPr>
              <w:jc w:val="left"/>
              <w:rPr>
                <w:rFonts w:hint="default"/>
                <w:vertAlign w:val="baseline"/>
                <w:lang w:val="en-US" w:eastAsia="zh-CN"/>
              </w:rPr>
            </w:pPr>
            <w:r>
              <w:rPr>
                <w:rFonts w:hint="eastAsia"/>
                <w:vertAlign w:val="baseline"/>
                <w:lang w:val="en-US" w:eastAsia="zh-CN"/>
              </w:rPr>
              <w:t>中国MPAcc学生案例大赛</w:t>
            </w:r>
          </w:p>
        </w:tc>
        <w:tc>
          <w:tcPr>
            <w:tcW w:w="3031" w:type="dxa"/>
            <w:noWrap w:val="0"/>
            <w:vAlign w:val="center"/>
          </w:tcPr>
          <w:p>
            <w:pPr>
              <w:numPr>
                <w:ilvl w:val="0"/>
                <w:numId w:val="0"/>
              </w:numPr>
              <w:jc w:val="left"/>
              <w:rPr>
                <w:rFonts w:hint="default"/>
                <w:vertAlign w:val="baseline"/>
                <w:lang w:val="en-US" w:eastAsia="zh-CN"/>
              </w:rPr>
            </w:pPr>
            <w:r>
              <w:rPr>
                <w:rFonts w:hint="eastAsia"/>
                <w:vertAlign w:val="baseline"/>
                <w:lang w:val="en-US" w:eastAsia="zh-CN"/>
              </w:rPr>
              <w:t>教育部学位与研究生教育发展中心、全国会计专业学位研究生教育指导委员会</w:t>
            </w:r>
          </w:p>
        </w:tc>
        <w:tc>
          <w:tcPr>
            <w:tcW w:w="1231"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4</w:t>
            </w:r>
          </w:p>
        </w:tc>
        <w:tc>
          <w:tcPr>
            <w:tcW w:w="3593" w:type="dxa"/>
            <w:noWrap w:val="0"/>
            <w:vAlign w:val="center"/>
          </w:tcPr>
          <w:p>
            <w:pPr>
              <w:numPr>
                <w:ilvl w:val="0"/>
                <w:numId w:val="0"/>
              </w:numPr>
              <w:jc w:val="left"/>
              <w:rPr>
                <w:rFonts w:hint="default"/>
                <w:vertAlign w:val="baseline"/>
                <w:lang w:val="en-US" w:eastAsia="zh-CN"/>
              </w:rPr>
            </w:pPr>
            <w:r>
              <w:rPr>
                <w:rFonts w:hint="eastAsia"/>
                <w:vertAlign w:val="baseline"/>
                <w:lang w:val="en-US" w:eastAsia="zh-CN"/>
              </w:rPr>
              <w:t>辽宁省研究生大数据技术创新赛</w:t>
            </w:r>
          </w:p>
        </w:tc>
        <w:tc>
          <w:tcPr>
            <w:tcW w:w="3031" w:type="dxa"/>
            <w:noWrap w:val="0"/>
            <w:vAlign w:val="center"/>
          </w:tcPr>
          <w:p>
            <w:pPr>
              <w:numPr>
                <w:ilvl w:val="0"/>
                <w:numId w:val="0"/>
              </w:numPr>
              <w:jc w:val="left"/>
              <w:rPr>
                <w:rFonts w:hint="default"/>
                <w:vertAlign w:val="baseline"/>
                <w:lang w:val="en-US" w:eastAsia="zh-CN"/>
              </w:rPr>
            </w:pPr>
            <w:r>
              <w:rPr>
                <w:rFonts w:hint="eastAsia"/>
                <w:vertAlign w:val="baseline"/>
                <w:lang w:val="en-US" w:eastAsia="zh-CN"/>
              </w:rPr>
              <w:t>辽宁省教育厅</w:t>
            </w:r>
          </w:p>
        </w:tc>
        <w:tc>
          <w:tcPr>
            <w:tcW w:w="1231"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5</w:t>
            </w:r>
          </w:p>
        </w:tc>
        <w:tc>
          <w:tcPr>
            <w:tcW w:w="3593" w:type="dxa"/>
            <w:noWrap w:val="0"/>
            <w:vAlign w:val="center"/>
          </w:tcPr>
          <w:p>
            <w:pPr>
              <w:numPr>
                <w:ilvl w:val="0"/>
                <w:numId w:val="0"/>
              </w:numPr>
              <w:jc w:val="left"/>
              <w:rPr>
                <w:rFonts w:hint="default"/>
                <w:vertAlign w:val="baseline"/>
                <w:lang w:val="en-US" w:eastAsia="zh-CN"/>
              </w:rPr>
            </w:pPr>
            <w:r>
              <w:rPr>
                <w:rFonts w:hint="eastAsia"/>
                <w:vertAlign w:val="baseline"/>
                <w:lang w:val="en-US" w:eastAsia="zh-CN"/>
              </w:rPr>
              <w:t>辽宁省研究生AUL论文竞赛</w:t>
            </w:r>
          </w:p>
        </w:tc>
        <w:tc>
          <w:tcPr>
            <w:tcW w:w="3031" w:type="dxa"/>
            <w:noWrap w:val="0"/>
            <w:vAlign w:val="center"/>
          </w:tcPr>
          <w:p>
            <w:pPr>
              <w:numPr>
                <w:ilvl w:val="0"/>
                <w:numId w:val="0"/>
              </w:numPr>
              <w:jc w:val="left"/>
              <w:rPr>
                <w:rFonts w:hint="default"/>
                <w:vertAlign w:val="baseline"/>
                <w:lang w:val="en-US" w:eastAsia="zh-CN"/>
              </w:rPr>
            </w:pPr>
            <w:r>
              <w:rPr>
                <w:rFonts w:hint="eastAsia"/>
                <w:vertAlign w:val="baseline"/>
                <w:lang w:val="en-US" w:eastAsia="zh-CN"/>
              </w:rPr>
              <w:t>辽宁省教育厅</w:t>
            </w:r>
          </w:p>
        </w:tc>
        <w:tc>
          <w:tcPr>
            <w:tcW w:w="1231"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6</w:t>
            </w:r>
          </w:p>
        </w:tc>
        <w:tc>
          <w:tcPr>
            <w:tcW w:w="3593" w:type="dxa"/>
            <w:noWrap w:val="0"/>
            <w:vAlign w:val="center"/>
          </w:tcPr>
          <w:p>
            <w:pPr>
              <w:numPr>
                <w:ilvl w:val="0"/>
                <w:numId w:val="0"/>
              </w:numPr>
              <w:jc w:val="left"/>
              <w:rPr>
                <w:rFonts w:hint="default"/>
                <w:vertAlign w:val="baseline"/>
                <w:lang w:val="en-US" w:eastAsia="zh-CN"/>
              </w:rPr>
            </w:pPr>
            <w:r>
              <w:rPr>
                <w:rFonts w:hint="eastAsia"/>
                <w:vertAlign w:val="baseline"/>
                <w:lang w:val="en-US" w:eastAsia="zh-CN"/>
              </w:rPr>
              <w:t>辽宁省研究生数学建模竞赛</w:t>
            </w:r>
          </w:p>
        </w:tc>
        <w:tc>
          <w:tcPr>
            <w:tcW w:w="3031" w:type="dxa"/>
            <w:noWrap w:val="0"/>
            <w:vAlign w:val="center"/>
          </w:tcPr>
          <w:p>
            <w:pPr>
              <w:numPr>
                <w:ilvl w:val="0"/>
                <w:numId w:val="0"/>
              </w:numPr>
              <w:jc w:val="left"/>
              <w:rPr>
                <w:rFonts w:hint="default"/>
                <w:vertAlign w:val="baseline"/>
                <w:lang w:val="en-US" w:eastAsia="zh-CN"/>
              </w:rPr>
            </w:pPr>
            <w:r>
              <w:rPr>
                <w:rFonts w:hint="eastAsia"/>
                <w:vertAlign w:val="baseline"/>
                <w:lang w:val="en-US" w:eastAsia="zh-CN"/>
              </w:rPr>
              <w:t>辽宁省教育厅、辽宁省人民政府学位委员会</w:t>
            </w:r>
          </w:p>
        </w:tc>
        <w:tc>
          <w:tcPr>
            <w:tcW w:w="1231"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省级</w:t>
            </w:r>
          </w:p>
        </w:tc>
      </w:tr>
    </w:tbl>
    <w:p>
      <w:pPr>
        <w:widowControl/>
        <w:shd w:val="clear" w:color="auto" w:fill="FFFFFF"/>
        <w:spacing w:line="360" w:lineRule="auto"/>
        <w:ind w:firstLine="480" w:firstLineChars="200"/>
        <w:jc w:val="left"/>
        <w:rPr>
          <w:rFonts w:ascii="仿宋" w:hAnsi="仿宋" w:eastAsia="仿宋" w:cs="宋体"/>
          <w:bCs/>
          <w:color w:val="000000"/>
          <w:kern w:val="0"/>
          <w:sz w:val="24"/>
          <w:szCs w:val="24"/>
        </w:rPr>
      </w:pPr>
      <w:r>
        <w:rPr>
          <w:rFonts w:ascii="仿宋" w:hAnsi="仿宋" w:eastAsia="仿宋" w:cs="宋体"/>
          <w:bCs/>
          <w:color w:val="000000"/>
          <w:kern w:val="0"/>
          <w:sz w:val="24"/>
          <w:szCs w:val="24"/>
        </w:rPr>
        <w:t>5.</w:t>
      </w:r>
      <w:r>
        <w:rPr>
          <w:rFonts w:hint="eastAsia" w:ascii="仿宋" w:hAnsi="仿宋" w:eastAsia="仿宋" w:cs="宋体"/>
          <w:bCs/>
          <w:color w:val="000000"/>
          <w:kern w:val="0"/>
          <w:sz w:val="24"/>
          <w:szCs w:val="24"/>
        </w:rPr>
        <w:t>学术会议</w:t>
      </w:r>
    </w:p>
    <w:p>
      <w:pPr>
        <w:widowControl/>
        <w:shd w:val="clear" w:color="auto" w:fill="FFFFFF"/>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参加国家级、省级学术会议且做报告者是否加分由各单位自定，但获得加分不能超</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分。</w:t>
      </w:r>
    </w:p>
    <w:p>
      <w:pPr>
        <w:widowControl/>
        <w:shd w:val="clear" w:color="auto" w:fill="FFFFFF"/>
        <w:spacing w:line="360" w:lineRule="auto"/>
        <w:ind w:firstLine="480" w:firstLineChars="200"/>
        <w:jc w:val="left"/>
        <w:rPr>
          <w:rFonts w:ascii="仿宋" w:hAnsi="仿宋" w:eastAsia="仿宋" w:cs="宋体"/>
          <w:bCs/>
          <w:color w:val="000000"/>
          <w:kern w:val="0"/>
          <w:sz w:val="24"/>
          <w:szCs w:val="24"/>
        </w:rPr>
      </w:pPr>
      <w:r>
        <w:rPr>
          <w:rFonts w:ascii="仿宋" w:hAnsi="仿宋" w:eastAsia="仿宋" w:cs="宋体"/>
          <w:bCs/>
          <w:color w:val="000000"/>
          <w:kern w:val="0"/>
          <w:sz w:val="24"/>
          <w:szCs w:val="24"/>
        </w:rPr>
        <w:t>6.</w:t>
      </w:r>
      <w:r>
        <w:rPr>
          <w:rFonts w:hint="eastAsia" w:ascii="仿宋" w:hAnsi="仿宋" w:eastAsia="仿宋" w:cs="宋体"/>
          <w:bCs/>
          <w:color w:val="000000"/>
          <w:kern w:val="0"/>
          <w:sz w:val="24"/>
          <w:szCs w:val="24"/>
        </w:rPr>
        <w:t>论文获奖</w:t>
      </w:r>
    </w:p>
    <w:p>
      <w:pPr>
        <w:widowControl/>
        <w:shd w:val="clear" w:color="auto" w:fill="FFFFFF"/>
        <w:spacing w:line="360" w:lineRule="auto"/>
        <w:ind w:firstLine="360" w:firstLineChars="150"/>
        <w:jc w:val="left"/>
        <w:rPr>
          <w:rFonts w:ascii="仿宋" w:hAnsi="仿宋" w:eastAsia="仿宋" w:cs="宋体"/>
          <w:color w:val="000000"/>
          <w:kern w:val="0"/>
          <w:sz w:val="24"/>
          <w:szCs w:val="24"/>
        </w:rPr>
      </w:pP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获得省级及以上社会科学成果奖中论文奖和自然科学成果奖一等奖加</w:t>
      </w:r>
      <w:r>
        <w:rPr>
          <w:rFonts w:ascii="仿宋" w:hAnsi="仿宋" w:eastAsia="仿宋" w:cs="宋体"/>
          <w:color w:val="000000"/>
          <w:kern w:val="0"/>
          <w:sz w:val="24"/>
          <w:szCs w:val="24"/>
        </w:rPr>
        <w:t>4</w:t>
      </w:r>
      <w:r>
        <w:rPr>
          <w:rFonts w:hint="eastAsia" w:ascii="仿宋" w:hAnsi="仿宋" w:eastAsia="仿宋" w:cs="宋体"/>
          <w:color w:val="000000"/>
          <w:kern w:val="0"/>
          <w:sz w:val="24"/>
          <w:szCs w:val="24"/>
        </w:rPr>
        <w:t>分、二等奖加</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分、三等奖加</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分。获得国家一级学会主办的论文奖一等奖加</w:t>
      </w:r>
      <w:r>
        <w:rPr>
          <w:rFonts w:ascii="仿宋" w:hAnsi="仿宋" w:eastAsia="仿宋" w:cs="宋体"/>
          <w:color w:val="000000"/>
          <w:kern w:val="0"/>
          <w:sz w:val="24"/>
          <w:szCs w:val="24"/>
        </w:rPr>
        <w:t>6</w:t>
      </w:r>
      <w:r>
        <w:rPr>
          <w:rFonts w:hint="eastAsia" w:ascii="仿宋" w:hAnsi="仿宋" w:eastAsia="仿宋" w:cs="宋体"/>
          <w:color w:val="000000"/>
          <w:kern w:val="0"/>
          <w:sz w:val="24"/>
          <w:szCs w:val="24"/>
        </w:rPr>
        <w:t>分、二等奖加</w:t>
      </w:r>
      <w:r>
        <w:rPr>
          <w:rFonts w:ascii="仿宋" w:hAnsi="仿宋" w:eastAsia="仿宋" w:cs="宋体"/>
          <w:color w:val="000000"/>
          <w:kern w:val="0"/>
          <w:sz w:val="24"/>
          <w:szCs w:val="24"/>
        </w:rPr>
        <w:t>4</w:t>
      </w:r>
      <w:r>
        <w:rPr>
          <w:rFonts w:hint="eastAsia" w:ascii="仿宋" w:hAnsi="仿宋" w:eastAsia="仿宋" w:cs="宋体"/>
          <w:color w:val="000000"/>
          <w:kern w:val="0"/>
          <w:sz w:val="24"/>
          <w:szCs w:val="24"/>
        </w:rPr>
        <w:t>分、三等奖加</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分；</w:t>
      </w:r>
    </w:p>
    <w:p>
      <w:pPr>
        <w:widowControl/>
        <w:shd w:val="clear" w:color="auto" w:fill="FFFFFF"/>
        <w:spacing w:line="360" w:lineRule="auto"/>
        <w:ind w:firstLine="360" w:firstLineChars="150"/>
        <w:jc w:val="left"/>
        <w:rPr>
          <w:rFonts w:ascii="仿宋" w:hAnsi="仿宋" w:eastAsia="仿宋" w:cs="宋体"/>
          <w:color w:val="000000"/>
          <w:kern w:val="0"/>
          <w:sz w:val="24"/>
          <w:szCs w:val="24"/>
        </w:rPr>
      </w:pP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排名及得分权重参见“学术论文”条目。</w:t>
      </w:r>
    </w:p>
    <w:p>
      <w:pPr>
        <w:spacing w:line="360" w:lineRule="auto"/>
        <w:rPr>
          <w:rFonts w:ascii="黑体" w:hAnsi="黑体" w:eastAsia="黑体"/>
          <w:b/>
          <w:color w:val="000000"/>
          <w:sz w:val="24"/>
          <w:szCs w:val="24"/>
        </w:rPr>
      </w:pPr>
      <w:r>
        <w:rPr>
          <w:rFonts w:hint="eastAsia" w:ascii="黑体" w:hAnsi="黑体" w:eastAsia="黑体"/>
          <w:b/>
          <w:color w:val="000000"/>
          <w:sz w:val="24"/>
          <w:szCs w:val="24"/>
        </w:rPr>
        <w:t>三、本办法由数学学院学术委员会负责解释。</w:t>
      </w:r>
    </w:p>
    <w:p>
      <w:pPr>
        <w:spacing w:line="360" w:lineRule="auto"/>
        <w:rPr>
          <w:rFonts w:ascii="黑体" w:hAnsi="黑体" w:eastAsia="黑体"/>
          <w:b/>
          <w:color w:val="000000"/>
          <w:sz w:val="24"/>
          <w:szCs w:val="24"/>
        </w:rPr>
      </w:pPr>
    </w:p>
    <w:p>
      <w:pPr>
        <w:spacing w:line="360" w:lineRule="auto"/>
        <w:rPr>
          <w:rFonts w:ascii="黑体" w:hAnsi="黑体" w:eastAsia="黑体"/>
          <w:b/>
          <w:color w:val="000000"/>
          <w:sz w:val="24"/>
          <w:szCs w:val="24"/>
        </w:rPr>
      </w:pPr>
    </w:p>
    <w:p>
      <w:pPr>
        <w:spacing w:line="360" w:lineRule="auto"/>
        <w:rPr>
          <w:rFonts w:ascii="黑体" w:hAnsi="黑体" w:eastAsia="黑体"/>
          <w:b/>
          <w:color w:val="000000"/>
          <w:sz w:val="24"/>
          <w:szCs w:val="24"/>
        </w:rPr>
      </w:pPr>
    </w:p>
    <w:p>
      <w:pPr>
        <w:spacing w:line="360" w:lineRule="auto"/>
        <w:rPr>
          <w:rFonts w:ascii="黑体" w:hAnsi="黑体" w:eastAsia="黑体"/>
          <w:b/>
          <w:color w:val="000000"/>
          <w:sz w:val="24"/>
          <w:szCs w:val="24"/>
        </w:rPr>
      </w:pPr>
    </w:p>
    <w:p>
      <w:pPr>
        <w:spacing w:line="360" w:lineRule="auto"/>
        <w:rPr>
          <w:rFonts w:ascii="黑体" w:hAnsi="黑体" w:eastAsia="黑体"/>
          <w:b/>
          <w:color w:val="000000"/>
          <w:sz w:val="24"/>
          <w:szCs w:val="24"/>
        </w:rPr>
      </w:pPr>
    </w:p>
    <w:p>
      <w:pPr>
        <w:spacing w:line="360" w:lineRule="auto"/>
        <w:rPr>
          <w:rFonts w:ascii="黑体" w:hAnsi="黑体" w:eastAsia="黑体"/>
          <w:b/>
          <w:color w:val="000000"/>
          <w:sz w:val="24"/>
          <w:szCs w:val="24"/>
        </w:rPr>
      </w:pPr>
    </w:p>
    <w:p>
      <w:pPr>
        <w:spacing w:line="360" w:lineRule="auto"/>
        <w:rPr>
          <w:rFonts w:ascii="黑体" w:hAnsi="黑体" w:eastAsia="黑体"/>
          <w:b/>
          <w:color w:val="000000"/>
          <w:sz w:val="24"/>
          <w:szCs w:val="24"/>
        </w:rPr>
      </w:pPr>
    </w:p>
    <w:p>
      <w:pPr>
        <w:spacing w:line="360" w:lineRule="auto"/>
        <w:rPr>
          <w:rFonts w:ascii="黑体" w:hAnsi="黑体" w:eastAsia="黑体"/>
          <w:b/>
          <w:color w:val="000000"/>
          <w:sz w:val="24"/>
          <w:szCs w:val="24"/>
        </w:rPr>
      </w:pPr>
    </w:p>
    <w:p>
      <w:pPr>
        <w:spacing w:line="360" w:lineRule="auto"/>
        <w:rPr>
          <w:rFonts w:ascii="黑体" w:hAnsi="黑体" w:eastAsia="黑体"/>
          <w:b/>
          <w:color w:val="000000"/>
          <w:sz w:val="24"/>
          <w:szCs w:val="24"/>
        </w:rPr>
      </w:pPr>
    </w:p>
    <w:p>
      <w:pPr>
        <w:spacing w:line="360" w:lineRule="auto"/>
        <w:rPr>
          <w:rFonts w:ascii="黑体" w:hAnsi="黑体" w:eastAsia="黑体"/>
          <w:b/>
          <w:color w:val="000000"/>
          <w:sz w:val="24"/>
          <w:szCs w:val="24"/>
        </w:rPr>
      </w:pPr>
    </w:p>
    <w:p>
      <w:pPr>
        <w:spacing w:line="360" w:lineRule="auto"/>
        <w:rPr>
          <w:rFonts w:ascii="黑体" w:hAnsi="黑体" w:eastAsia="黑体" w:cs="宋体"/>
          <w:b/>
          <w:bCs/>
          <w:color w:val="000000"/>
          <w:kern w:val="0"/>
          <w:sz w:val="24"/>
          <w:szCs w:val="24"/>
        </w:rPr>
      </w:pPr>
    </w:p>
    <w:p>
      <w:pPr>
        <w:pStyle w:val="3"/>
        <w:rPr>
          <w:rFonts w:ascii="黑体" w:hAnsi="Calibri" w:eastAsia="黑体"/>
          <w:b w:val="0"/>
          <w:bCs w:val="0"/>
        </w:rPr>
      </w:pPr>
      <w:r>
        <w:rPr>
          <w:rFonts w:hint="eastAsia" w:ascii="黑体" w:hAnsi="Calibri" w:eastAsia="黑体"/>
          <w:b w:val="0"/>
          <w:bCs w:val="0"/>
        </w:rPr>
        <w:t>附件三</w:t>
      </w:r>
    </w:p>
    <w:p>
      <w:pPr>
        <w:pStyle w:val="3"/>
        <w:rPr>
          <w:rFonts w:ascii="黑体" w:hAnsi="Calibri" w:eastAsia="黑体"/>
          <w:b w:val="0"/>
          <w:bCs w:val="0"/>
        </w:rPr>
      </w:pPr>
      <w:r>
        <w:rPr>
          <w:rFonts w:hint="eastAsia" w:ascii="黑体" w:hAnsi="Calibri" w:eastAsia="黑体"/>
          <w:b w:val="0"/>
          <w:bCs w:val="0"/>
        </w:rPr>
        <w:t>数学</w:t>
      </w:r>
      <w:bookmarkStart w:id="5" w:name="_Toc469849006"/>
      <w:r>
        <w:rPr>
          <w:rFonts w:hint="eastAsia" w:ascii="黑体" w:hAnsi="Calibri" w:eastAsia="黑体"/>
          <w:b w:val="0"/>
          <w:bCs w:val="0"/>
        </w:rPr>
        <w:t>学院二年制专业型硕士研究生国家奖学金评审量化指标和计分方法</w:t>
      </w:r>
      <w:bookmarkEnd w:id="5"/>
    </w:p>
    <w:p>
      <w:pPr>
        <w:widowControl/>
        <w:shd w:val="clear" w:color="auto" w:fill="FFFFFF"/>
        <w:spacing w:line="360" w:lineRule="auto"/>
        <w:ind w:firstLine="482" w:firstLineChars="200"/>
        <w:jc w:val="left"/>
        <w:rPr>
          <w:rStyle w:val="15"/>
          <w:rFonts w:ascii="仿宋" w:hAnsi="仿宋" w:eastAsia="仿宋"/>
          <w:b w:val="0"/>
          <w:color w:val="000000"/>
          <w:sz w:val="24"/>
          <w:szCs w:val="24"/>
        </w:rPr>
      </w:pPr>
      <w:r>
        <w:rPr>
          <w:rFonts w:hint="eastAsia" w:ascii="黑体" w:hAnsi="黑体" w:eastAsia="黑体" w:cs="宋体"/>
          <w:b/>
          <w:color w:val="000000"/>
          <w:kern w:val="0"/>
          <w:sz w:val="24"/>
          <w:szCs w:val="24"/>
        </w:rPr>
        <w:t>一</w:t>
      </w:r>
      <w:r>
        <w:rPr>
          <w:rFonts w:hint="eastAsia" w:ascii="黑体" w:hAnsi="黑体" w:eastAsia="黑体"/>
          <w:b/>
          <w:color w:val="000000"/>
          <w:sz w:val="24"/>
          <w:szCs w:val="24"/>
        </w:rPr>
        <w:t>、</w:t>
      </w:r>
      <w:r>
        <w:rPr>
          <w:rFonts w:hint="eastAsia" w:ascii="黑体" w:hAnsi="黑体" w:eastAsia="黑体" w:cs="宋体"/>
          <w:b/>
          <w:color w:val="000000"/>
          <w:kern w:val="0"/>
          <w:sz w:val="24"/>
          <w:szCs w:val="24"/>
        </w:rPr>
        <w:t>评审指标</w:t>
      </w:r>
    </w:p>
    <w:p>
      <w:pPr>
        <w:widowControl/>
        <w:shd w:val="clear" w:color="auto" w:fill="FFFFFF"/>
        <w:spacing w:line="360" w:lineRule="auto"/>
        <w:ind w:firstLine="480" w:firstLineChars="200"/>
        <w:jc w:val="left"/>
        <w:rPr>
          <w:rFonts w:ascii="仿宋" w:hAnsi="仿宋" w:eastAsia="仿宋"/>
          <w:color w:val="000000"/>
          <w:sz w:val="24"/>
          <w:szCs w:val="24"/>
        </w:rPr>
      </w:pPr>
      <w:bookmarkStart w:id="6" w:name="_Toc469848821"/>
      <w:bookmarkStart w:id="7" w:name="_Toc469849007"/>
      <w:r>
        <w:rPr>
          <w:rStyle w:val="15"/>
          <w:rFonts w:hint="eastAsia" w:ascii="仿宋" w:hAnsi="仿宋" w:eastAsia="仿宋"/>
          <w:b w:val="0"/>
          <w:color w:val="000000"/>
          <w:sz w:val="24"/>
          <w:szCs w:val="24"/>
        </w:rPr>
        <w:t>评审指标为</w:t>
      </w:r>
      <w:r>
        <w:rPr>
          <w:rStyle w:val="15"/>
          <w:rFonts w:ascii="仿宋" w:hAnsi="仿宋" w:eastAsia="仿宋"/>
          <w:b w:val="0"/>
          <w:color w:val="000000"/>
          <w:sz w:val="24"/>
          <w:szCs w:val="24"/>
        </w:rPr>
        <w:t>4</w:t>
      </w:r>
      <w:bookmarkEnd w:id="6"/>
      <w:bookmarkEnd w:id="7"/>
      <w:r>
        <w:rPr>
          <w:rFonts w:hint="eastAsia" w:ascii="仿宋" w:hAnsi="仿宋" w:eastAsia="仿宋"/>
          <w:color w:val="000000"/>
          <w:sz w:val="24"/>
          <w:szCs w:val="24"/>
        </w:rPr>
        <w:t>个部分，满分</w:t>
      </w:r>
      <w:r>
        <w:rPr>
          <w:rFonts w:ascii="仿宋" w:hAnsi="仿宋" w:eastAsia="仿宋"/>
          <w:color w:val="000000"/>
          <w:sz w:val="24"/>
          <w:szCs w:val="24"/>
        </w:rPr>
        <w:t>100</w:t>
      </w:r>
      <w:r>
        <w:rPr>
          <w:rFonts w:hint="eastAsia" w:ascii="仿宋" w:hAnsi="仿宋" w:eastAsia="仿宋"/>
          <w:color w:val="000000"/>
          <w:sz w:val="24"/>
          <w:szCs w:val="24"/>
        </w:rPr>
        <w:t>分：</w:t>
      </w:r>
    </w:p>
    <w:p>
      <w:pPr>
        <w:widowControl/>
        <w:shd w:val="clear" w:color="auto" w:fill="FFFFFF"/>
        <w:spacing w:line="360" w:lineRule="auto"/>
        <w:ind w:firstLine="480" w:firstLineChars="200"/>
        <w:jc w:val="left"/>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政治思想表现（最高</w:t>
      </w:r>
      <w:r>
        <w:rPr>
          <w:rFonts w:ascii="仿宋" w:hAnsi="仿宋" w:eastAsia="仿宋"/>
          <w:color w:val="000000"/>
          <w:sz w:val="24"/>
          <w:szCs w:val="24"/>
        </w:rPr>
        <w:t>20</w:t>
      </w:r>
      <w:r>
        <w:rPr>
          <w:rFonts w:hint="eastAsia" w:ascii="仿宋" w:hAnsi="仿宋" w:eastAsia="仿宋"/>
          <w:color w:val="000000"/>
          <w:sz w:val="24"/>
          <w:szCs w:val="24"/>
        </w:rPr>
        <w:t>分）。</w:t>
      </w:r>
    </w:p>
    <w:p>
      <w:pPr>
        <w:widowControl/>
        <w:shd w:val="clear" w:color="auto" w:fill="FFFFFF"/>
        <w:spacing w:line="360" w:lineRule="auto"/>
        <w:ind w:firstLine="480" w:firstLineChars="200"/>
        <w:jc w:val="left"/>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学习成绩（最高</w:t>
      </w:r>
      <w:r>
        <w:rPr>
          <w:rFonts w:ascii="仿宋" w:hAnsi="仿宋" w:eastAsia="仿宋"/>
          <w:color w:val="000000"/>
          <w:sz w:val="24"/>
          <w:szCs w:val="24"/>
        </w:rPr>
        <w:t>50</w:t>
      </w:r>
      <w:r>
        <w:rPr>
          <w:rFonts w:hint="eastAsia" w:ascii="仿宋" w:hAnsi="仿宋" w:eastAsia="仿宋"/>
          <w:color w:val="000000"/>
          <w:sz w:val="24"/>
          <w:szCs w:val="24"/>
        </w:rPr>
        <w:t>分）。</w:t>
      </w:r>
    </w:p>
    <w:p>
      <w:pPr>
        <w:ind w:firstLine="482" w:firstLineChars="200"/>
        <w:rPr>
          <w:rFonts w:hint="default" w:ascii="仿宋" w:hAnsi="仿宋" w:eastAsia="仿宋"/>
          <w:color w:val="000000"/>
          <w:sz w:val="24"/>
          <w:szCs w:val="24"/>
          <w:lang w:val="en-US" w:eastAsia="zh-CN"/>
        </w:rPr>
      </w:pPr>
      <w:r>
        <w:rPr>
          <w:rFonts w:hint="eastAsia" w:ascii="黑体" w:hAnsi="黑体" w:eastAsia="黑体"/>
          <w:b/>
          <w:color w:val="000000"/>
          <w:sz w:val="24"/>
          <w:szCs w:val="24"/>
        </w:rPr>
        <w:t>课程</w:t>
      </w:r>
      <w:r>
        <w:rPr>
          <w:rFonts w:hint="eastAsia" w:ascii="仿宋" w:hAnsi="仿宋" w:eastAsia="仿宋"/>
          <w:color w:val="000000"/>
          <w:sz w:val="24"/>
          <w:szCs w:val="24"/>
        </w:rPr>
        <w:t>：</w:t>
      </w:r>
      <w:r>
        <w:rPr>
          <w:rFonts w:hint="eastAsia" w:ascii="仿宋" w:hAnsi="仿宋" w:eastAsia="仿宋"/>
          <w:color w:val="000000"/>
          <w:sz w:val="24"/>
          <w:szCs w:val="24"/>
          <w:lang w:val="en-US" w:eastAsia="zh-CN"/>
        </w:rPr>
        <w:t>培养方案中的公共课。</w:t>
      </w:r>
    </w:p>
    <w:p>
      <w:pPr>
        <w:widowControl/>
        <w:shd w:val="clear" w:color="auto" w:fill="FFFFFF"/>
        <w:spacing w:line="360" w:lineRule="auto"/>
        <w:ind w:firstLine="480" w:firstLineChars="200"/>
        <w:jc w:val="left"/>
        <w:rPr>
          <w:rFonts w:ascii="仿宋" w:hAnsi="仿宋" w:eastAsia="仿宋"/>
          <w:color w:val="000000"/>
          <w:sz w:val="24"/>
          <w:szCs w:val="24"/>
        </w:rPr>
      </w:pPr>
      <w:r>
        <w:rPr>
          <w:rFonts w:ascii="仿宋" w:hAnsi="仿宋" w:eastAsia="仿宋"/>
          <w:color w:val="000000"/>
          <w:sz w:val="24"/>
          <w:szCs w:val="24"/>
        </w:rPr>
        <w:t>3.</w:t>
      </w:r>
      <w:r>
        <w:rPr>
          <w:rFonts w:hint="eastAsia" w:ascii="仿宋" w:hAnsi="仿宋" w:eastAsia="仿宋"/>
          <w:color w:val="000000"/>
          <w:sz w:val="24"/>
          <w:szCs w:val="24"/>
        </w:rPr>
        <w:t>专业实践（最高</w:t>
      </w:r>
      <w:r>
        <w:rPr>
          <w:rFonts w:ascii="仿宋" w:hAnsi="仿宋" w:eastAsia="仿宋"/>
          <w:color w:val="000000"/>
          <w:sz w:val="24"/>
          <w:szCs w:val="24"/>
        </w:rPr>
        <w:t>25</w:t>
      </w:r>
      <w:r>
        <w:rPr>
          <w:rFonts w:hint="eastAsia" w:ascii="仿宋" w:hAnsi="仿宋" w:eastAsia="仿宋"/>
          <w:color w:val="000000"/>
          <w:sz w:val="24"/>
          <w:szCs w:val="24"/>
        </w:rPr>
        <w:t>分）。</w:t>
      </w:r>
    </w:p>
    <w:p>
      <w:pPr>
        <w:widowControl/>
        <w:shd w:val="clear" w:color="auto" w:fill="FFFFFF"/>
        <w:spacing w:line="360" w:lineRule="auto"/>
        <w:ind w:firstLine="480" w:firstLineChars="200"/>
        <w:jc w:val="left"/>
        <w:rPr>
          <w:rStyle w:val="15"/>
          <w:rFonts w:ascii="仿宋" w:hAnsi="仿宋" w:eastAsia="仿宋"/>
          <w:color w:val="000000"/>
          <w:sz w:val="24"/>
          <w:szCs w:val="24"/>
        </w:rPr>
      </w:pPr>
      <w:r>
        <w:rPr>
          <w:rFonts w:ascii="仿宋" w:hAnsi="仿宋" w:eastAsia="仿宋"/>
          <w:color w:val="000000"/>
          <w:sz w:val="24"/>
          <w:szCs w:val="24"/>
        </w:rPr>
        <w:t>4.</w:t>
      </w:r>
      <w:r>
        <w:rPr>
          <w:rFonts w:hint="eastAsia" w:ascii="仿宋" w:hAnsi="仿宋" w:eastAsia="仿宋"/>
          <w:color w:val="000000"/>
          <w:sz w:val="24"/>
          <w:szCs w:val="24"/>
        </w:rPr>
        <w:t>科研（</w:t>
      </w:r>
      <w:r>
        <w:rPr>
          <w:rFonts w:ascii="仿宋" w:hAnsi="仿宋" w:eastAsia="仿宋"/>
          <w:color w:val="000000"/>
          <w:sz w:val="24"/>
          <w:szCs w:val="24"/>
        </w:rPr>
        <w:t>5</w:t>
      </w:r>
      <w:r>
        <w:rPr>
          <w:rFonts w:hint="eastAsia" w:ascii="仿宋" w:hAnsi="仿宋" w:eastAsia="仿宋"/>
          <w:color w:val="000000"/>
          <w:sz w:val="24"/>
          <w:szCs w:val="24"/>
        </w:rPr>
        <w:t>分）。</w:t>
      </w:r>
    </w:p>
    <w:p>
      <w:pPr>
        <w:widowControl/>
        <w:shd w:val="clear" w:color="auto" w:fill="FFFFFF"/>
        <w:spacing w:line="360" w:lineRule="auto"/>
        <w:ind w:left="359" w:leftChars="171" w:firstLine="120" w:firstLineChars="50"/>
        <w:jc w:val="left"/>
        <w:rPr>
          <w:rStyle w:val="15"/>
          <w:rFonts w:ascii="仿宋" w:hAnsi="仿宋" w:eastAsia="仿宋"/>
          <w:color w:val="000000"/>
          <w:sz w:val="24"/>
          <w:szCs w:val="24"/>
        </w:rPr>
      </w:pPr>
      <w:bookmarkStart w:id="8" w:name="_Toc469849008"/>
      <w:bookmarkStart w:id="9" w:name="_Toc469848822"/>
      <w:r>
        <w:rPr>
          <w:rStyle w:val="15"/>
          <w:rFonts w:hint="eastAsia" w:ascii="黑体" w:hAnsi="黑体" w:eastAsia="黑体"/>
          <w:color w:val="000000"/>
          <w:sz w:val="24"/>
          <w:szCs w:val="24"/>
        </w:rPr>
        <w:t>二、评分办法</w:t>
      </w:r>
      <w:r>
        <w:rPr>
          <w:rStyle w:val="15"/>
          <w:rFonts w:ascii="仿宋" w:hAnsi="仿宋" w:eastAsia="仿宋"/>
          <w:color w:val="000000"/>
          <w:sz w:val="24"/>
          <w:szCs w:val="24"/>
        </w:rPr>
        <w:br w:type="textWrapping"/>
      </w:r>
      <w:r>
        <w:rPr>
          <w:rStyle w:val="15"/>
          <w:rFonts w:ascii="仿宋" w:hAnsi="仿宋" w:eastAsia="仿宋"/>
          <w:color w:val="000000"/>
          <w:sz w:val="24"/>
          <w:szCs w:val="24"/>
        </w:rPr>
        <w:t>(</w:t>
      </w:r>
      <w:r>
        <w:rPr>
          <w:rStyle w:val="15"/>
          <w:rFonts w:hint="eastAsia" w:ascii="仿宋" w:hAnsi="仿宋" w:eastAsia="仿宋"/>
          <w:color w:val="000000"/>
          <w:sz w:val="24"/>
          <w:szCs w:val="24"/>
        </w:rPr>
        <w:t>一</w:t>
      </w:r>
      <w:r>
        <w:rPr>
          <w:rStyle w:val="15"/>
          <w:rFonts w:ascii="仿宋" w:hAnsi="仿宋" w:eastAsia="仿宋"/>
          <w:color w:val="000000"/>
          <w:sz w:val="24"/>
          <w:szCs w:val="24"/>
        </w:rPr>
        <w:t>)</w:t>
      </w:r>
      <w:r>
        <w:rPr>
          <w:rStyle w:val="15"/>
          <w:rFonts w:hint="eastAsia" w:ascii="仿宋" w:hAnsi="仿宋" w:eastAsia="仿宋"/>
          <w:color w:val="000000"/>
          <w:sz w:val="24"/>
          <w:szCs w:val="24"/>
        </w:rPr>
        <w:t>政治思想及日常行为表现（</w:t>
      </w:r>
      <w:r>
        <w:rPr>
          <w:rStyle w:val="15"/>
          <w:rFonts w:ascii="仿宋" w:hAnsi="仿宋" w:eastAsia="仿宋"/>
          <w:color w:val="000000"/>
          <w:sz w:val="24"/>
          <w:szCs w:val="24"/>
        </w:rPr>
        <w:t>20</w:t>
      </w:r>
      <w:r>
        <w:rPr>
          <w:rStyle w:val="15"/>
          <w:rFonts w:hint="eastAsia" w:ascii="仿宋" w:hAnsi="仿宋" w:eastAsia="仿宋"/>
          <w:color w:val="000000"/>
          <w:sz w:val="24"/>
          <w:szCs w:val="24"/>
        </w:rPr>
        <w:t>分）</w:t>
      </w:r>
      <w:bookmarkEnd w:id="8"/>
      <w:bookmarkEnd w:id="9"/>
    </w:p>
    <w:p>
      <w:pPr>
        <w:widowControl/>
        <w:shd w:val="clear" w:color="auto" w:fill="FFFFFF"/>
        <w:spacing w:line="360" w:lineRule="auto"/>
        <w:ind w:firstLine="482" w:firstLineChars="200"/>
        <w:jc w:val="left"/>
        <w:rPr>
          <w:rStyle w:val="15"/>
          <w:rFonts w:ascii="仿宋" w:hAnsi="仿宋" w:eastAsia="仿宋"/>
          <w:color w:val="000000"/>
          <w:sz w:val="24"/>
          <w:szCs w:val="24"/>
        </w:rPr>
      </w:pPr>
      <w:bookmarkStart w:id="10" w:name="_Toc469848823"/>
      <w:bookmarkStart w:id="11" w:name="_Toc469849009"/>
      <w:r>
        <w:rPr>
          <w:rStyle w:val="15"/>
          <w:rFonts w:ascii="仿宋" w:hAnsi="仿宋" w:eastAsia="仿宋"/>
          <w:color w:val="000000"/>
          <w:sz w:val="24"/>
          <w:szCs w:val="24"/>
        </w:rPr>
        <w:t>1.</w:t>
      </w:r>
      <w:r>
        <w:rPr>
          <w:rStyle w:val="15"/>
          <w:rFonts w:hint="eastAsia" w:ascii="仿宋" w:hAnsi="仿宋" w:eastAsia="仿宋"/>
          <w:color w:val="000000"/>
          <w:sz w:val="24"/>
          <w:szCs w:val="24"/>
        </w:rPr>
        <w:t>研究生品行综合评价（最高</w:t>
      </w:r>
      <w:r>
        <w:rPr>
          <w:rStyle w:val="15"/>
          <w:rFonts w:ascii="仿宋" w:hAnsi="仿宋" w:eastAsia="仿宋"/>
          <w:color w:val="000000"/>
          <w:sz w:val="24"/>
          <w:szCs w:val="24"/>
        </w:rPr>
        <w:t>15</w:t>
      </w:r>
      <w:r>
        <w:rPr>
          <w:rStyle w:val="15"/>
          <w:rFonts w:hint="eastAsia" w:ascii="仿宋" w:hAnsi="仿宋" w:eastAsia="仿宋"/>
          <w:color w:val="000000"/>
          <w:sz w:val="24"/>
          <w:szCs w:val="24"/>
        </w:rPr>
        <w:t>分）</w:t>
      </w:r>
      <w:bookmarkEnd w:id="10"/>
      <w:bookmarkEnd w:id="11"/>
    </w:p>
    <w:p>
      <w:pPr>
        <w:widowControl/>
        <w:shd w:val="clear" w:color="auto" w:fill="FFFFFF"/>
        <w:spacing w:line="360" w:lineRule="auto"/>
        <w:ind w:firstLine="480" w:firstLineChars="200"/>
        <w:jc w:val="left"/>
        <w:rPr>
          <w:rFonts w:ascii="仿宋" w:hAnsi="仿宋" w:eastAsia="仿宋" w:cs="宋体"/>
          <w:color w:val="000000"/>
          <w:kern w:val="0"/>
          <w:sz w:val="24"/>
          <w:szCs w:val="24"/>
        </w:rPr>
      </w:pPr>
      <w:bookmarkStart w:id="12" w:name="_Toc469849010"/>
      <w:bookmarkStart w:id="13" w:name="_Toc469848824"/>
      <w:r>
        <w:rPr>
          <w:rStyle w:val="15"/>
          <w:rFonts w:hint="eastAsia" w:ascii="仿宋" w:hAnsi="仿宋" w:eastAsia="仿宋"/>
          <w:b w:val="0"/>
          <w:color w:val="000000"/>
          <w:sz w:val="24"/>
          <w:szCs w:val="24"/>
        </w:rPr>
        <w:t>本评价由各培养单位总支书记、院长、主管院长、辅导员和教学秘书，必要情况下可吸收专业基础课任课教师综合研究生以下几个方面表现进行：①</w:t>
      </w:r>
      <w:bookmarkEnd w:id="12"/>
      <w:bookmarkEnd w:id="13"/>
      <w:r>
        <w:rPr>
          <w:rFonts w:hint="eastAsia" w:ascii="仿宋" w:hAnsi="仿宋" w:eastAsia="仿宋"/>
          <w:bCs/>
          <w:color w:val="000000"/>
          <w:sz w:val="24"/>
          <w:szCs w:val="24"/>
        </w:rPr>
        <w:t>是否</w:t>
      </w:r>
      <w:r>
        <w:rPr>
          <w:rFonts w:hint="eastAsia" w:ascii="仿宋" w:hAnsi="仿宋" w:eastAsia="仿宋"/>
          <w:color w:val="000000"/>
          <w:sz w:val="24"/>
          <w:szCs w:val="24"/>
        </w:rPr>
        <w:t>违反校规校纪受到纪律处分；</w:t>
      </w:r>
      <w:r>
        <w:rPr>
          <w:rStyle w:val="15"/>
          <w:rFonts w:hint="eastAsia" w:ascii="仿宋" w:hAnsi="仿宋" w:eastAsia="仿宋"/>
          <w:b w:val="0"/>
          <w:color w:val="000000"/>
          <w:sz w:val="24"/>
          <w:szCs w:val="24"/>
        </w:rPr>
        <w:t>②是否存在</w:t>
      </w:r>
      <w:r>
        <w:rPr>
          <w:rFonts w:hint="eastAsia" w:ascii="仿宋" w:hAnsi="仿宋" w:eastAsia="仿宋"/>
          <w:color w:val="000000"/>
          <w:sz w:val="24"/>
          <w:szCs w:val="24"/>
        </w:rPr>
        <w:t>未请假或请假未获准擅自旷课、迟到或早退、是否隐瞒缺课次数或以不当方式取得考试成绩；</w:t>
      </w:r>
      <w:r>
        <w:rPr>
          <w:rStyle w:val="15"/>
          <w:rFonts w:hint="eastAsia" w:ascii="仿宋" w:hAnsi="仿宋" w:eastAsia="仿宋"/>
          <w:b w:val="0"/>
          <w:color w:val="000000"/>
          <w:sz w:val="24"/>
          <w:szCs w:val="24"/>
        </w:rPr>
        <w:t>③</w:t>
      </w:r>
      <w:r>
        <w:rPr>
          <w:rFonts w:hint="eastAsia" w:ascii="仿宋" w:hAnsi="仿宋" w:eastAsia="仿宋"/>
          <w:bCs/>
          <w:color w:val="000000"/>
          <w:sz w:val="24"/>
          <w:szCs w:val="24"/>
        </w:rPr>
        <w:t>是否</w:t>
      </w:r>
      <w:r>
        <w:rPr>
          <w:rFonts w:hint="eastAsia" w:ascii="仿宋" w:hAnsi="仿宋" w:eastAsia="仿宋"/>
          <w:color w:val="000000"/>
          <w:sz w:val="24"/>
          <w:szCs w:val="24"/>
          <w:shd w:val="clear" w:color="auto" w:fill="FFFFFF"/>
        </w:rPr>
        <w:t>积极参加集体活动，是否有</w:t>
      </w:r>
      <w:r>
        <w:rPr>
          <w:rFonts w:hint="eastAsia" w:ascii="仿宋" w:hAnsi="仿宋" w:eastAsia="仿宋"/>
          <w:color w:val="000000"/>
          <w:sz w:val="24"/>
          <w:szCs w:val="24"/>
        </w:rPr>
        <w:t>未经请假或请假未获准擅自不参加文体活动，或者中途无故退出。</w:t>
      </w:r>
      <w:r>
        <w:rPr>
          <w:rStyle w:val="15"/>
          <w:rFonts w:hint="eastAsia" w:ascii="仿宋" w:hAnsi="仿宋" w:eastAsia="仿宋"/>
          <w:b w:val="0"/>
          <w:color w:val="000000"/>
          <w:sz w:val="24"/>
          <w:szCs w:val="24"/>
        </w:rPr>
        <w:t>④</w:t>
      </w:r>
      <w:r>
        <w:rPr>
          <w:rFonts w:hint="eastAsia" w:ascii="仿宋" w:hAnsi="仿宋" w:eastAsia="仿宋"/>
          <w:bCs/>
          <w:color w:val="000000"/>
          <w:sz w:val="24"/>
          <w:szCs w:val="24"/>
        </w:rPr>
        <w:t>是否有</w:t>
      </w:r>
      <w:r>
        <w:rPr>
          <w:rFonts w:hint="eastAsia" w:ascii="仿宋" w:hAnsi="仿宋" w:eastAsia="仿宋"/>
          <w:color w:val="000000"/>
          <w:sz w:val="24"/>
          <w:szCs w:val="24"/>
        </w:rPr>
        <w:t>谩骂、造谣生事等不尊重老师、侮辱同学、干扰管理人员正常工作的行为；</w:t>
      </w:r>
      <w:r>
        <w:rPr>
          <w:rStyle w:val="15"/>
          <w:rFonts w:hint="eastAsia" w:ascii="仿宋" w:hAnsi="仿宋" w:eastAsia="仿宋"/>
          <w:b w:val="0"/>
          <w:color w:val="000000"/>
          <w:sz w:val="24"/>
          <w:szCs w:val="24"/>
        </w:rPr>
        <w:t>⑤是否有</w:t>
      </w:r>
      <w:r>
        <w:rPr>
          <w:rFonts w:hint="eastAsia" w:ascii="仿宋" w:hAnsi="仿宋" w:eastAsia="仿宋"/>
          <w:color w:val="000000"/>
          <w:sz w:val="24"/>
          <w:szCs w:val="24"/>
        </w:rPr>
        <w:t>破坏教室、寝室楼内等公共场地卫生，经教育不改正的行为；</w:t>
      </w:r>
      <w:r>
        <w:rPr>
          <w:rStyle w:val="15"/>
          <w:rFonts w:hint="eastAsia" w:ascii="仿宋" w:hAnsi="仿宋" w:eastAsia="仿宋"/>
          <w:b w:val="0"/>
          <w:color w:val="000000"/>
          <w:sz w:val="24"/>
          <w:szCs w:val="24"/>
        </w:rPr>
        <w:t>⑥是否</w:t>
      </w:r>
      <w:r>
        <w:rPr>
          <w:rFonts w:hint="eastAsia" w:ascii="仿宋" w:hAnsi="仿宋" w:eastAsia="仿宋"/>
          <w:color w:val="000000"/>
          <w:sz w:val="24"/>
          <w:szCs w:val="24"/>
        </w:rPr>
        <w:t>在研究生寝室内吸烟、赌博、酗酒、是否占用他人床位或空间；</w:t>
      </w:r>
      <w:r>
        <w:rPr>
          <w:rStyle w:val="15"/>
          <w:rFonts w:hint="eastAsia" w:ascii="仿宋" w:hAnsi="仿宋" w:eastAsia="仿宋"/>
          <w:b w:val="0"/>
          <w:color w:val="000000"/>
          <w:sz w:val="24"/>
          <w:szCs w:val="24"/>
        </w:rPr>
        <w:t>⑦是否</w:t>
      </w:r>
      <w:r>
        <w:rPr>
          <w:rFonts w:hint="eastAsia" w:ascii="仿宋" w:hAnsi="仿宋" w:eastAsia="仿宋"/>
          <w:bCs/>
          <w:color w:val="000000"/>
          <w:sz w:val="24"/>
          <w:szCs w:val="24"/>
        </w:rPr>
        <w:t>服从、配合老师或管理人员对宿舍寝室或床位进行调整；</w:t>
      </w:r>
      <w:r>
        <w:rPr>
          <w:rStyle w:val="15"/>
          <w:rFonts w:hint="eastAsia" w:ascii="仿宋" w:hAnsi="仿宋" w:eastAsia="仿宋"/>
          <w:b w:val="0"/>
          <w:color w:val="000000"/>
          <w:sz w:val="24"/>
          <w:szCs w:val="24"/>
        </w:rPr>
        <w:t>⑧</w:t>
      </w:r>
      <w:r>
        <w:rPr>
          <w:rFonts w:hint="eastAsia" w:ascii="仿宋" w:hAnsi="仿宋" w:eastAsia="仿宋"/>
          <w:color w:val="000000"/>
          <w:sz w:val="24"/>
          <w:szCs w:val="24"/>
        </w:rPr>
        <w:t>研究生干部在工作中是否有不积极、擅自脱离岗位造成学生工作或活动无法顺利开展的情况；</w:t>
      </w:r>
      <w:r>
        <w:rPr>
          <w:rStyle w:val="15"/>
          <w:rFonts w:hint="eastAsia" w:ascii="仿宋" w:hAnsi="仿宋" w:eastAsia="仿宋"/>
          <w:b w:val="0"/>
          <w:color w:val="000000"/>
          <w:sz w:val="24"/>
          <w:szCs w:val="24"/>
        </w:rPr>
        <w:t>⑨是否存在</w:t>
      </w:r>
      <w:r>
        <w:rPr>
          <w:rFonts w:hint="eastAsia" w:ascii="仿宋" w:hAnsi="仿宋" w:eastAsia="仿宋"/>
          <w:color w:val="000000"/>
          <w:sz w:val="24"/>
          <w:szCs w:val="24"/>
        </w:rPr>
        <w:t>恶意拖欠研究生宿费和学费的情况；</w:t>
      </w:r>
      <w:r>
        <w:rPr>
          <w:rStyle w:val="15"/>
          <w:rFonts w:hint="eastAsia" w:ascii="仿宋" w:hAnsi="仿宋" w:eastAsia="仿宋"/>
          <w:b w:val="0"/>
          <w:color w:val="000000"/>
          <w:sz w:val="24"/>
          <w:szCs w:val="24"/>
        </w:rPr>
        <w:t>⑩是否有</w:t>
      </w:r>
      <w:r>
        <w:rPr>
          <w:rFonts w:hint="eastAsia" w:ascii="仿宋" w:hAnsi="仿宋" w:eastAsia="仿宋"/>
          <w:color w:val="000000"/>
          <w:sz w:val="24"/>
          <w:szCs w:val="24"/>
        </w:rPr>
        <w:t>其它与研究生身份不符的行为；⑾收到管理人员对参评人的举报或投诉等。</w:t>
      </w:r>
    </w:p>
    <w:p>
      <w:pPr>
        <w:widowControl/>
        <w:shd w:val="clear" w:color="auto" w:fill="FFFFFF"/>
        <w:spacing w:line="360" w:lineRule="auto"/>
        <w:ind w:firstLine="482" w:firstLineChars="200"/>
        <w:jc w:val="left"/>
        <w:rPr>
          <w:rFonts w:ascii="仿宋" w:hAnsi="仿宋" w:eastAsia="仿宋" w:cs="宋体"/>
          <w:b/>
          <w:bCs/>
          <w:color w:val="000000"/>
          <w:kern w:val="0"/>
          <w:sz w:val="24"/>
          <w:szCs w:val="24"/>
        </w:rPr>
      </w:pPr>
      <w:r>
        <w:rPr>
          <w:rFonts w:ascii="仿宋" w:hAnsi="仿宋" w:eastAsia="仿宋" w:cs="宋体"/>
          <w:b/>
          <w:color w:val="000000"/>
          <w:kern w:val="0"/>
          <w:sz w:val="24"/>
          <w:szCs w:val="24"/>
        </w:rPr>
        <w:t>2</w:t>
      </w:r>
      <w:r>
        <w:rPr>
          <w:rFonts w:ascii="仿宋" w:hAnsi="仿宋" w:eastAsia="仿宋" w:cs="宋体"/>
          <w:b/>
          <w:bCs/>
          <w:color w:val="000000"/>
          <w:kern w:val="0"/>
          <w:sz w:val="24"/>
          <w:szCs w:val="24"/>
        </w:rPr>
        <w:t>.</w:t>
      </w:r>
      <w:r>
        <w:rPr>
          <w:rFonts w:hint="eastAsia" w:ascii="仿宋" w:hAnsi="仿宋" w:eastAsia="仿宋" w:cs="宋体"/>
          <w:b/>
          <w:bCs/>
          <w:color w:val="000000"/>
          <w:kern w:val="0"/>
          <w:sz w:val="24"/>
          <w:szCs w:val="24"/>
        </w:rPr>
        <w:t>学生干部和参加活动情况（最高</w:t>
      </w:r>
      <w:r>
        <w:rPr>
          <w:rFonts w:ascii="仿宋" w:hAnsi="仿宋" w:eastAsia="仿宋" w:cs="宋体"/>
          <w:b/>
          <w:bCs/>
          <w:color w:val="000000"/>
          <w:kern w:val="0"/>
          <w:sz w:val="24"/>
          <w:szCs w:val="24"/>
        </w:rPr>
        <w:t>5</w:t>
      </w:r>
      <w:r>
        <w:rPr>
          <w:rFonts w:hint="eastAsia" w:ascii="仿宋" w:hAnsi="仿宋" w:eastAsia="仿宋" w:cs="宋体"/>
          <w:b/>
          <w:bCs/>
          <w:color w:val="000000"/>
          <w:kern w:val="0"/>
          <w:sz w:val="24"/>
          <w:szCs w:val="24"/>
        </w:rPr>
        <w:t>分）</w:t>
      </w:r>
    </w:p>
    <w:p>
      <w:pPr>
        <w:widowControl/>
        <w:shd w:val="clear" w:color="auto" w:fill="FFFFFF"/>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olor w:val="000000"/>
          <w:sz w:val="24"/>
          <w:szCs w:val="24"/>
        </w:rPr>
        <w:t>本评价由研究生本人据实填写</w:t>
      </w:r>
      <w:r>
        <w:rPr>
          <w:rFonts w:ascii="仿宋" w:hAnsi="仿宋" w:eastAsia="仿宋"/>
          <w:color w:val="000000"/>
          <w:sz w:val="24"/>
          <w:szCs w:val="24"/>
        </w:rPr>
        <w:t>,</w:t>
      </w:r>
      <w:r>
        <w:rPr>
          <w:rFonts w:hint="eastAsia" w:ascii="仿宋" w:hAnsi="仿宋" w:eastAsia="仿宋"/>
          <w:color w:val="000000"/>
          <w:sz w:val="24"/>
          <w:szCs w:val="24"/>
        </w:rPr>
        <w:t>由评审委员会指定专人审核。</w:t>
      </w:r>
      <w:r>
        <w:rPr>
          <w:rFonts w:hint="eastAsia" w:ascii="仿宋" w:hAnsi="仿宋" w:eastAsia="仿宋" w:cs="宋体"/>
          <w:color w:val="000000"/>
          <w:kern w:val="0"/>
          <w:sz w:val="24"/>
          <w:szCs w:val="24"/>
        </w:rPr>
        <w:t>研究生会主席或副主席、党支部书记（</w:t>
      </w:r>
      <w:r>
        <w:rPr>
          <w:rFonts w:ascii="仿宋" w:hAnsi="仿宋" w:eastAsia="仿宋" w:cs="宋体"/>
          <w:color w:val="000000"/>
          <w:kern w:val="0"/>
          <w:sz w:val="24"/>
          <w:szCs w:val="24"/>
        </w:rPr>
        <w:t>1.5</w:t>
      </w:r>
      <w:r>
        <w:rPr>
          <w:rFonts w:hint="eastAsia" w:ascii="仿宋" w:hAnsi="仿宋" w:eastAsia="仿宋" w:cs="宋体"/>
          <w:color w:val="000000"/>
          <w:kern w:val="0"/>
          <w:sz w:val="24"/>
          <w:szCs w:val="24"/>
        </w:rPr>
        <w:t>分），班长</w:t>
      </w:r>
      <w:r>
        <w:rPr>
          <w:rFonts w:hint="eastAsia" w:ascii="仿宋" w:hAnsi="仿宋" w:eastAsia="仿宋"/>
          <w:color w:val="000000"/>
          <w:sz w:val="24"/>
          <w:szCs w:val="24"/>
        </w:rPr>
        <w:t>、部长或其它研究生学生干部（</w:t>
      </w:r>
      <w:r>
        <w:rPr>
          <w:rFonts w:ascii="仿宋" w:hAnsi="仿宋" w:eastAsia="仿宋"/>
          <w:color w:val="000000"/>
          <w:sz w:val="24"/>
          <w:szCs w:val="24"/>
        </w:rPr>
        <w:t>1</w:t>
      </w:r>
      <w:r>
        <w:rPr>
          <w:rFonts w:hint="eastAsia" w:ascii="仿宋" w:hAnsi="仿宋" w:eastAsia="仿宋"/>
          <w:color w:val="000000"/>
          <w:sz w:val="24"/>
          <w:szCs w:val="24"/>
        </w:rPr>
        <w:t>分）；寝室长（</w:t>
      </w:r>
      <w:r>
        <w:rPr>
          <w:rFonts w:ascii="仿宋" w:hAnsi="仿宋" w:eastAsia="仿宋"/>
          <w:color w:val="000000"/>
          <w:sz w:val="24"/>
          <w:szCs w:val="24"/>
        </w:rPr>
        <w:t>0.2</w:t>
      </w:r>
      <w:r>
        <w:rPr>
          <w:rFonts w:hint="eastAsia" w:ascii="仿宋" w:hAnsi="仿宋" w:eastAsia="仿宋"/>
          <w:color w:val="000000"/>
          <w:sz w:val="24"/>
          <w:szCs w:val="24"/>
        </w:rPr>
        <w:t>分）</w:t>
      </w:r>
      <w:r>
        <w:rPr>
          <w:rFonts w:ascii="仿宋_GB2312" w:eastAsia="仿宋_GB2312"/>
          <w:color w:val="000000"/>
          <w:sz w:val="24"/>
          <w:szCs w:val="24"/>
        </w:rPr>
        <w:t>;</w:t>
      </w:r>
      <w:r>
        <w:rPr>
          <w:rFonts w:hint="eastAsia" w:ascii="仿宋" w:hAnsi="仿宋" w:eastAsia="仿宋"/>
          <w:color w:val="000000"/>
          <w:sz w:val="24"/>
          <w:szCs w:val="24"/>
        </w:rPr>
        <w:t>代表学院参加学校组织文体活动、竞赛等，每次加</w:t>
      </w:r>
      <w:r>
        <w:rPr>
          <w:rFonts w:ascii="仿宋" w:hAnsi="仿宋" w:eastAsia="仿宋"/>
          <w:color w:val="000000"/>
          <w:sz w:val="24"/>
          <w:szCs w:val="24"/>
        </w:rPr>
        <w:t>0.5</w:t>
      </w:r>
      <w:r>
        <w:rPr>
          <w:rFonts w:hint="eastAsia" w:ascii="仿宋" w:hAnsi="仿宋" w:eastAsia="仿宋"/>
          <w:color w:val="000000"/>
          <w:sz w:val="24"/>
          <w:szCs w:val="24"/>
        </w:rPr>
        <w:t>分，获奖追加</w:t>
      </w:r>
      <w:r>
        <w:rPr>
          <w:rFonts w:ascii="仿宋" w:hAnsi="仿宋" w:eastAsia="仿宋"/>
          <w:color w:val="000000"/>
          <w:sz w:val="24"/>
          <w:szCs w:val="24"/>
        </w:rPr>
        <w:t>1</w:t>
      </w:r>
      <w:r>
        <w:rPr>
          <w:rFonts w:hint="eastAsia" w:ascii="仿宋" w:hAnsi="仿宋" w:eastAsia="仿宋"/>
          <w:color w:val="000000"/>
          <w:sz w:val="24"/>
          <w:szCs w:val="24"/>
        </w:rPr>
        <w:t>分；代表学校参加省级以上文体活动或竞赛者每次加</w:t>
      </w:r>
      <w:r>
        <w:rPr>
          <w:rFonts w:ascii="仿宋" w:hAnsi="仿宋" w:eastAsia="仿宋"/>
          <w:color w:val="000000"/>
          <w:sz w:val="24"/>
          <w:szCs w:val="24"/>
        </w:rPr>
        <w:t>1.5</w:t>
      </w:r>
      <w:r>
        <w:rPr>
          <w:rFonts w:hint="eastAsia" w:ascii="仿宋" w:hAnsi="仿宋" w:eastAsia="仿宋"/>
          <w:color w:val="000000"/>
          <w:sz w:val="24"/>
          <w:szCs w:val="24"/>
        </w:rPr>
        <w:t>分，获奖追加</w:t>
      </w:r>
      <w:r>
        <w:rPr>
          <w:rFonts w:ascii="仿宋" w:hAnsi="仿宋" w:eastAsia="仿宋"/>
          <w:color w:val="000000"/>
          <w:sz w:val="24"/>
          <w:szCs w:val="24"/>
        </w:rPr>
        <w:t>2</w:t>
      </w:r>
      <w:r>
        <w:rPr>
          <w:rFonts w:hint="eastAsia" w:ascii="仿宋" w:hAnsi="仿宋" w:eastAsia="仿宋"/>
          <w:color w:val="000000"/>
          <w:sz w:val="24"/>
          <w:szCs w:val="24"/>
        </w:rPr>
        <w:t>分；参加青年志愿者活动，每次加</w:t>
      </w:r>
      <w:r>
        <w:rPr>
          <w:rFonts w:ascii="仿宋" w:hAnsi="仿宋" w:eastAsia="仿宋"/>
          <w:color w:val="000000"/>
          <w:sz w:val="24"/>
          <w:szCs w:val="24"/>
        </w:rPr>
        <w:t>0.2</w:t>
      </w:r>
      <w:r>
        <w:rPr>
          <w:rFonts w:hint="eastAsia" w:ascii="仿宋" w:hAnsi="仿宋" w:eastAsia="仿宋"/>
          <w:color w:val="000000"/>
          <w:sz w:val="24"/>
          <w:szCs w:val="24"/>
        </w:rPr>
        <w:t>分（最高</w:t>
      </w:r>
      <w:r>
        <w:rPr>
          <w:rFonts w:ascii="仿宋" w:hAnsi="仿宋" w:eastAsia="仿宋"/>
          <w:color w:val="000000"/>
          <w:sz w:val="24"/>
          <w:szCs w:val="24"/>
        </w:rPr>
        <w:t>2</w:t>
      </w:r>
      <w:r>
        <w:rPr>
          <w:rFonts w:hint="eastAsia" w:ascii="仿宋" w:hAnsi="仿宋" w:eastAsia="仿宋"/>
          <w:color w:val="000000"/>
          <w:sz w:val="24"/>
          <w:szCs w:val="24"/>
        </w:rPr>
        <w:t>分）。</w:t>
      </w:r>
      <w:r>
        <w:rPr>
          <w:rFonts w:ascii="仿宋" w:hAnsi="仿宋" w:eastAsia="仿宋"/>
          <w:color w:val="000000"/>
          <w:sz w:val="24"/>
          <w:szCs w:val="24"/>
        </w:rPr>
        <w:br w:type="textWrapping"/>
      </w:r>
      <w:r>
        <w:rPr>
          <w:rFonts w:ascii="仿宋" w:hAnsi="仿宋" w:eastAsia="仿宋"/>
          <w:color w:val="000000"/>
          <w:sz w:val="24"/>
          <w:szCs w:val="24"/>
        </w:rPr>
        <w:t xml:space="preserve">    </w:t>
      </w:r>
      <w:r>
        <w:rPr>
          <w:rFonts w:hint="eastAsia" w:ascii="仿宋" w:hAnsi="仿宋" w:eastAsia="仿宋"/>
          <w:color w:val="000000"/>
          <w:sz w:val="24"/>
          <w:szCs w:val="24"/>
        </w:rPr>
        <w:t>国家、省、市、校四级优秀研究生如</w:t>
      </w:r>
      <w:r>
        <w:rPr>
          <w:rFonts w:hint="eastAsia" w:ascii="仿宋" w:hAnsi="仿宋" w:eastAsia="仿宋" w:cs="宋体"/>
          <w:color w:val="000000"/>
          <w:kern w:val="0"/>
          <w:sz w:val="24"/>
          <w:szCs w:val="24"/>
        </w:rPr>
        <w:t>三好学生、优秀学生干部、优秀毕业生、文体活动积极分子、社会实践先进个人、专业实践类先进个人等个人奖项在评选奖学金时给予</w:t>
      </w: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加分，如有重复可累积计分。</w:t>
      </w:r>
    </w:p>
    <w:p>
      <w:pPr>
        <w:widowControl/>
        <w:shd w:val="clear" w:color="auto" w:fill="FFFFFF"/>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注：各研究生培养单位要对研究生学生干部履职情况认真进行考核，考核不合格者，取消其</w:t>
      </w:r>
      <w:r>
        <w:rPr>
          <w:rFonts w:hint="eastAsia" w:cs="宋体"/>
          <w:bCs/>
          <w:color w:val="000000"/>
          <w:kern w:val="0"/>
          <w:sz w:val="24"/>
          <w:szCs w:val="24"/>
        </w:rPr>
        <w:t>学生干部加分</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br w:type="textWrapping"/>
      </w:r>
      <w:r>
        <w:rPr>
          <w:rFonts w:ascii="仿宋" w:hAnsi="仿宋" w:eastAsia="仿宋"/>
          <w:color w:val="000000"/>
          <w:sz w:val="24"/>
          <w:szCs w:val="24"/>
          <w:shd w:val="clear" w:color="auto" w:fill="FFFFFF"/>
        </w:rPr>
        <w:t xml:space="preserve">     </w:t>
      </w:r>
      <w:r>
        <w:rPr>
          <w:rFonts w:hint="eastAsia" w:ascii="仿宋" w:hAnsi="仿宋" w:eastAsia="仿宋"/>
          <w:color w:val="000000"/>
          <w:sz w:val="24"/>
          <w:szCs w:val="24"/>
          <w:shd w:val="clear" w:color="auto" w:fill="FFFFFF"/>
        </w:rPr>
        <w:t>已在获评研究生国家奖学金或学业奖学金时使用过的加分项目，本次不加分。</w:t>
      </w:r>
    </w:p>
    <w:p>
      <w:pPr>
        <w:widowControl/>
        <w:shd w:val="clear" w:color="auto" w:fill="FFFFFF"/>
        <w:spacing w:line="360" w:lineRule="auto"/>
        <w:ind w:firstLine="482" w:firstLineChars="200"/>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（二）学习成绩（最高</w:t>
      </w:r>
      <w:r>
        <w:rPr>
          <w:rFonts w:ascii="仿宋" w:hAnsi="仿宋" w:eastAsia="仿宋" w:cs="宋体"/>
          <w:b/>
          <w:color w:val="000000"/>
          <w:kern w:val="0"/>
          <w:sz w:val="24"/>
          <w:szCs w:val="24"/>
        </w:rPr>
        <w:t>50</w:t>
      </w:r>
      <w:r>
        <w:rPr>
          <w:rFonts w:hint="eastAsia" w:ascii="仿宋" w:hAnsi="仿宋" w:eastAsia="仿宋" w:cs="宋体"/>
          <w:b/>
          <w:color w:val="000000"/>
          <w:kern w:val="0"/>
          <w:sz w:val="24"/>
          <w:szCs w:val="24"/>
        </w:rPr>
        <w:t>分）</w:t>
      </w:r>
    </w:p>
    <w:p>
      <w:pPr>
        <w:widowControl/>
        <w:shd w:val="clear" w:color="auto" w:fill="FFFFFF"/>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须提供本专业全部公共学位课和专业基础课成绩，课程门数按教学计划不得缺项。</w:t>
      </w:r>
    </w:p>
    <w:p>
      <w:pPr>
        <w:widowControl/>
        <w:shd w:val="clear" w:color="auto" w:fill="FFFFFF"/>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学习成绩</w:t>
      </w:r>
      <w:r>
        <w:rPr>
          <w:rFonts w:hint="eastAsia" w:ascii="仿宋" w:hAnsi="仿宋" w:eastAsia="仿宋"/>
          <w:color w:val="000000"/>
          <w:sz w:val="24"/>
          <w:szCs w:val="24"/>
        </w:rPr>
        <w:t>最低要求：修完培养计划规定的全部公共学位课与专业基础课，课程平均成绩须在</w:t>
      </w:r>
      <w:r>
        <w:rPr>
          <w:rFonts w:ascii="仿宋" w:hAnsi="仿宋" w:eastAsia="仿宋"/>
          <w:color w:val="000000"/>
          <w:sz w:val="24"/>
          <w:szCs w:val="24"/>
        </w:rPr>
        <w:t>80</w:t>
      </w:r>
      <w:r>
        <w:rPr>
          <w:rFonts w:hint="eastAsia" w:ascii="仿宋" w:hAnsi="仿宋" w:eastAsia="仿宋"/>
          <w:color w:val="000000"/>
          <w:sz w:val="24"/>
          <w:szCs w:val="24"/>
        </w:rPr>
        <w:t>分（含</w:t>
      </w:r>
      <w:r>
        <w:rPr>
          <w:rFonts w:ascii="仿宋" w:hAnsi="仿宋" w:eastAsia="仿宋"/>
          <w:color w:val="000000"/>
          <w:sz w:val="24"/>
          <w:szCs w:val="24"/>
        </w:rPr>
        <w:t>80</w:t>
      </w:r>
      <w:r>
        <w:rPr>
          <w:rFonts w:hint="eastAsia" w:ascii="仿宋" w:hAnsi="仿宋" w:eastAsia="仿宋"/>
          <w:color w:val="000000"/>
          <w:sz w:val="24"/>
          <w:szCs w:val="24"/>
        </w:rPr>
        <w:t>分）以上，且单科成绩不低于</w:t>
      </w:r>
      <w:r>
        <w:rPr>
          <w:rFonts w:ascii="仿宋" w:hAnsi="仿宋" w:eastAsia="仿宋"/>
          <w:color w:val="000000"/>
          <w:sz w:val="24"/>
          <w:szCs w:val="24"/>
        </w:rPr>
        <w:t>60</w:t>
      </w:r>
      <w:r>
        <w:rPr>
          <w:rFonts w:hint="eastAsia" w:ascii="仿宋" w:hAnsi="仿宋" w:eastAsia="仿宋"/>
          <w:color w:val="000000"/>
          <w:sz w:val="24"/>
          <w:szCs w:val="24"/>
        </w:rPr>
        <w:t>分（重修通过成绩最高按</w:t>
      </w:r>
      <w:r>
        <w:rPr>
          <w:rFonts w:ascii="仿宋" w:hAnsi="仿宋" w:eastAsia="仿宋"/>
          <w:color w:val="000000"/>
          <w:sz w:val="24"/>
          <w:szCs w:val="24"/>
        </w:rPr>
        <w:t xml:space="preserve">60 </w:t>
      </w:r>
      <w:r>
        <w:rPr>
          <w:rFonts w:hint="eastAsia" w:ascii="仿宋" w:hAnsi="仿宋" w:eastAsia="仿宋"/>
          <w:color w:val="000000"/>
          <w:sz w:val="24"/>
          <w:szCs w:val="24"/>
        </w:rPr>
        <w:t>分计）。</w:t>
      </w:r>
      <w:r>
        <w:rPr>
          <w:rFonts w:ascii="仿宋" w:hAnsi="仿宋" w:eastAsia="仿宋"/>
          <w:color w:val="000000"/>
          <w:sz w:val="24"/>
          <w:szCs w:val="24"/>
        </w:rPr>
        <w:br w:type="textWrapping"/>
      </w:r>
      <w:r>
        <w:rPr>
          <w:rFonts w:ascii="仿宋" w:hAnsi="仿宋" w:eastAsia="仿宋"/>
          <w:color w:val="000000"/>
          <w:sz w:val="24"/>
          <w:szCs w:val="24"/>
        </w:rPr>
        <w:t xml:space="preserve">    </w:t>
      </w:r>
      <w:r>
        <w:rPr>
          <w:rFonts w:hint="eastAsia" w:ascii="仿宋" w:hAnsi="仿宋" w:eastAsia="仿宋"/>
          <w:color w:val="000000"/>
          <w:sz w:val="24"/>
          <w:szCs w:val="24"/>
        </w:rPr>
        <w:t>学习成绩分数量化计算方法：将各科成绩按百分制计算出平均分，然后再按满分</w:t>
      </w:r>
      <w:r>
        <w:rPr>
          <w:rFonts w:ascii="仿宋" w:hAnsi="仿宋" w:eastAsia="仿宋"/>
          <w:color w:val="000000"/>
          <w:sz w:val="24"/>
          <w:szCs w:val="24"/>
        </w:rPr>
        <w:t>50</w:t>
      </w:r>
      <w:r>
        <w:rPr>
          <w:rFonts w:hint="eastAsia" w:ascii="仿宋" w:hAnsi="仿宋" w:eastAsia="仿宋"/>
          <w:color w:val="000000"/>
          <w:sz w:val="24"/>
          <w:szCs w:val="24"/>
        </w:rPr>
        <w:t>分折算出最终分</w:t>
      </w:r>
      <w:r>
        <w:rPr>
          <w:rFonts w:ascii="仿宋" w:hAnsi="仿宋" w:eastAsia="仿宋"/>
          <w:color w:val="000000"/>
          <w:sz w:val="24"/>
          <w:szCs w:val="24"/>
        </w:rPr>
        <w:t xml:space="preserve">, </w:t>
      </w:r>
      <w:r>
        <w:rPr>
          <w:rFonts w:hint="eastAsia" w:ascii="仿宋" w:hAnsi="仿宋" w:eastAsia="仿宋"/>
          <w:color w:val="000000"/>
          <w:sz w:val="24"/>
          <w:szCs w:val="24"/>
        </w:rPr>
        <w:t>分值按四舍五入保留</w:t>
      </w:r>
      <w:r>
        <w:rPr>
          <w:rFonts w:ascii="仿宋" w:hAnsi="仿宋" w:eastAsia="仿宋"/>
          <w:color w:val="000000"/>
          <w:sz w:val="24"/>
          <w:szCs w:val="24"/>
        </w:rPr>
        <w:t>1</w:t>
      </w:r>
      <w:r>
        <w:rPr>
          <w:rFonts w:hint="eastAsia" w:ascii="仿宋" w:hAnsi="仿宋" w:eastAsia="仿宋"/>
          <w:color w:val="000000"/>
          <w:sz w:val="24"/>
          <w:szCs w:val="24"/>
        </w:rPr>
        <w:t>位小数。例如，某生</w:t>
      </w:r>
      <w:r>
        <w:rPr>
          <w:rFonts w:ascii="仿宋" w:hAnsi="仿宋" w:eastAsia="仿宋"/>
          <w:color w:val="000000"/>
          <w:sz w:val="24"/>
          <w:szCs w:val="24"/>
        </w:rPr>
        <w:t>7</w:t>
      </w:r>
      <w:r>
        <w:rPr>
          <w:rFonts w:hint="eastAsia" w:ascii="仿宋" w:hAnsi="仿宋" w:eastAsia="仿宋"/>
          <w:color w:val="000000"/>
          <w:sz w:val="24"/>
          <w:szCs w:val="24"/>
        </w:rPr>
        <w:t>门课平均分</w:t>
      </w:r>
      <w:r>
        <w:rPr>
          <w:rFonts w:ascii="仿宋" w:hAnsi="仿宋" w:eastAsia="仿宋"/>
          <w:color w:val="000000"/>
          <w:sz w:val="24"/>
          <w:szCs w:val="24"/>
        </w:rPr>
        <w:t>85</w:t>
      </w:r>
      <w:r>
        <w:rPr>
          <w:rFonts w:hint="eastAsia" w:ascii="仿宋" w:hAnsi="仿宋" w:eastAsia="仿宋"/>
          <w:color w:val="000000"/>
          <w:sz w:val="24"/>
          <w:szCs w:val="24"/>
        </w:rPr>
        <w:t>分，其学习成绩项目得分为</w:t>
      </w:r>
      <w:r>
        <w:rPr>
          <w:rFonts w:ascii="仿宋" w:hAnsi="仿宋" w:eastAsia="仿宋"/>
          <w:color w:val="000000"/>
          <w:sz w:val="24"/>
          <w:szCs w:val="24"/>
        </w:rPr>
        <w:t>85*0.50=42.5</w:t>
      </w:r>
      <w:r>
        <w:rPr>
          <w:rFonts w:hint="eastAsia" w:ascii="仿宋" w:hAnsi="仿宋" w:eastAsia="仿宋"/>
          <w:color w:val="000000"/>
          <w:sz w:val="24"/>
          <w:szCs w:val="24"/>
        </w:rPr>
        <w:t>分。</w:t>
      </w:r>
    </w:p>
    <w:p>
      <w:pPr>
        <w:widowControl/>
        <w:shd w:val="clear" w:color="auto" w:fill="FFFFFF"/>
        <w:spacing w:line="360" w:lineRule="auto"/>
        <w:ind w:left="281" w:leftChars="134" w:firstLine="120" w:firstLineChars="50"/>
        <w:jc w:val="left"/>
        <w:rPr>
          <w:rFonts w:ascii="仿宋" w:hAnsi="仿宋" w:eastAsia="仿宋" w:cs="宋体"/>
          <w:b/>
          <w:color w:val="000000"/>
          <w:kern w:val="0"/>
          <w:sz w:val="24"/>
          <w:szCs w:val="24"/>
        </w:rPr>
      </w:pPr>
      <w:r>
        <w:rPr>
          <w:rFonts w:ascii="仿宋" w:hAnsi="仿宋" w:eastAsia="仿宋" w:cs="宋体"/>
          <w:b/>
          <w:color w:val="000000"/>
          <w:kern w:val="0"/>
          <w:sz w:val="24"/>
          <w:szCs w:val="24"/>
        </w:rPr>
        <w:t>(</w:t>
      </w:r>
      <w:r>
        <w:rPr>
          <w:rFonts w:hint="eastAsia" w:ascii="仿宋" w:hAnsi="仿宋" w:eastAsia="仿宋" w:cs="宋体"/>
          <w:b/>
          <w:color w:val="000000"/>
          <w:kern w:val="0"/>
          <w:sz w:val="24"/>
          <w:szCs w:val="24"/>
        </w:rPr>
        <w:t>三）专业实践（最高</w:t>
      </w:r>
      <w:r>
        <w:rPr>
          <w:rFonts w:ascii="仿宋" w:hAnsi="仿宋" w:eastAsia="仿宋" w:cs="宋体"/>
          <w:b/>
          <w:color w:val="000000"/>
          <w:kern w:val="0"/>
          <w:sz w:val="24"/>
          <w:szCs w:val="24"/>
        </w:rPr>
        <w:t>25</w:t>
      </w:r>
      <w:r>
        <w:rPr>
          <w:rFonts w:hint="eastAsia" w:ascii="仿宋" w:hAnsi="仿宋" w:eastAsia="仿宋" w:cs="宋体"/>
          <w:b/>
          <w:color w:val="000000"/>
          <w:kern w:val="0"/>
          <w:sz w:val="24"/>
          <w:szCs w:val="24"/>
        </w:rPr>
        <w:t>分）</w:t>
      </w:r>
    </w:p>
    <w:p>
      <w:pPr>
        <w:widowControl/>
        <w:shd w:val="clear" w:color="auto" w:fill="FFFFFF"/>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专业实践考核包括自研究生入学之</w:t>
      </w:r>
      <w:r>
        <w:rPr>
          <w:rFonts w:hint="eastAsia" w:ascii="仿宋" w:hAnsi="仿宋" w:eastAsia="仿宋"/>
          <w:color w:val="000000"/>
          <w:sz w:val="24"/>
          <w:szCs w:val="24"/>
        </w:rPr>
        <w:t>日起以下项目：参加各级别专业竞赛、专业实践（含见习、实习）等方面。专业实践考核所确定的成绩需进一步“归一化”处理，具体计算方法举例如下：专业实践最高分为标准按</w:t>
      </w:r>
      <w:r>
        <w:rPr>
          <w:rFonts w:ascii="仿宋" w:hAnsi="仿宋" w:eastAsia="仿宋"/>
          <w:color w:val="000000"/>
          <w:sz w:val="24"/>
          <w:szCs w:val="24"/>
        </w:rPr>
        <w:t>25</w:t>
      </w:r>
      <w:r>
        <w:rPr>
          <w:rFonts w:hint="eastAsia" w:ascii="仿宋" w:hAnsi="仿宋" w:eastAsia="仿宋"/>
          <w:color w:val="000000"/>
          <w:sz w:val="24"/>
          <w:szCs w:val="24"/>
        </w:rPr>
        <w:t>分“归一化”折算出每位研究生得分，分值按四舍五入保留</w:t>
      </w:r>
      <w:r>
        <w:rPr>
          <w:rFonts w:ascii="仿宋" w:hAnsi="仿宋" w:eastAsia="仿宋"/>
          <w:color w:val="000000"/>
          <w:sz w:val="24"/>
          <w:szCs w:val="24"/>
        </w:rPr>
        <w:t>1</w:t>
      </w:r>
      <w:r>
        <w:rPr>
          <w:rFonts w:hint="eastAsia" w:ascii="仿宋" w:hAnsi="仿宋" w:eastAsia="仿宋"/>
          <w:color w:val="000000"/>
          <w:sz w:val="24"/>
          <w:szCs w:val="24"/>
        </w:rPr>
        <w:t>位小数。例如，有</w:t>
      </w:r>
      <w:r>
        <w:rPr>
          <w:rFonts w:ascii="仿宋" w:hAnsi="仿宋" w:eastAsia="仿宋"/>
          <w:color w:val="000000"/>
          <w:sz w:val="24"/>
          <w:szCs w:val="24"/>
        </w:rPr>
        <w:t>20</w:t>
      </w:r>
      <w:r>
        <w:rPr>
          <w:rFonts w:hint="eastAsia" w:ascii="仿宋" w:hAnsi="仿宋" w:eastAsia="仿宋"/>
          <w:color w:val="000000"/>
          <w:sz w:val="24"/>
          <w:szCs w:val="24"/>
        </w:rPr>
        <w:t>名研究生参评，其中</w:t>
      </w:r>
      <w:r>
        <w:rPr>
          <w:rFonts w:ascii="仿宋" w:hAnsi="仿宋" w:eastAsia="仿宋"/>
          <w:color w:val="000000"/>
          <w:sz w:val="24"/>
          <w:szCs w:val="24"/>
        </w:rPr>
        <w:t xml:space="preserve"> </w:t>
      </w:r>
      <w:r>
        <w:rPr>
          <w:rFonts w:hint="eastAsia" w:ascii="仿宋" w:hAnsi="仿宋" w:eastAsia="仿宋"/>
          <w:color w:val="000000"/>
          <w:sz w:val="24"/>
          <w:szCs w:val="24"/>
        </w:rPr>
        <w:t>学生甲最好，假定其累积分为</w:t>
      </w:r>
      <w:r>
        <w:rPr>
          <w:rFonts w:ascii="仿宋" w:hAnsi="仿宋" w:eastAsia="仿宋"/>
          <w:color w:val="000000"/>
          <w:sz w:val="24"/>
          <w:szCs w:val="24"/>
        </w:rPr>
        <w:t>135</w:t>
      </w:r>
      <w:r>
        <w:rPr>
          <w:rFonts w:hint="eastAsia" w:ascii="仿宋" w:hAnsi="仿宋" w:eastAsia="仿宋"/>
          <w:color w:val="000000"/>
          <w:sz w:val="24"/>
          <w:szCs w:val="24"/>
        </w:rPr>
        <w:t>分，学生乙</w:t>
      </w:r>
      <w:r>
        <w:rPr>
          <w:rFonts w:ascii="仿宋" w:hAnsi="仿宋" w:eastAsia="仿宋"/>
          <w:color w:val="000000"/>
          <w:sz w:val="24"/>
          <w:szCs w:val="24"/>
        </w:rPr>
        <w:t xml:space="preserve"> </w:t>
      </w:r>
      <w:r>
        <w:rPr>
          <w:rFonts w:hint="eastAsia" w:ascii="仿宋" w:hAnsi="仿宋" w:eastAsia="仿宋"/>
          <w:color w:val="000000"/>
          <w:sz w:val="24"/>
          <w:szCs w:val="24"/>
        </w:rPr>
        <w:t>较弱，假定其积分为</w:t>
      </w:r>
      <w:r>
        <w:rPr>
          <w:rFonts w:ascii="仿宋" w:hAnsi="仿宋" w:eastAsia="仿宋"/>
          <w:color w:val="000000"/>
          <w:sz w:val="24"/>
          <w:szCs w:val="24"/>
        </w:rPr>
        <w:t>85</w:t>
      </w:r>
      <w:r>
        <w:rPr>
          <w:rFonts w:hint="eastAsia" w:ascii="仿宋" w:hAnsi="仿宋" w:eastAsia="仿宋"/>
          <w:color w:val="000000"/>
          <w:sz w:val="24"/>
          <w:szCs w:val="24"/>
        </w:rPr>
        <w:t>分，那么通过折算</w:t>
      </w:r>
      <w:r>
        <w:rPr>
          <w:rFonts w:hint="eastAsia" w:ascii="仿宋" w:hAnsi="仿宋" w:eastAsia="仿宋" w:cs="宋体"/>
          <w:color w:val="000000"/>
          <w:kern w:val="0"/>
          <w:sz w:val="24"/>
          <w:szCs w:val="24"/>
        </w:rPr>
        <w:t>，学生甲得分为</w:t>
      </w:r>
      <w:r>
        <w:rPr>
          <w:rFonts w:ascii="仿宋" w:hAnsi="仿宋" w:eastAsia="仿宋" w:cs="宋体"/>
          <w:color w:val="000000"/>
          <w:kern w:val="0"/>
          <w:sz w:val="24"/>
          <w:szCs w:val="24"/>
        </w:rPr>
        <w:t xml:space="preserve"> 135</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135*25=25</w:t>
      </w:r>
      <w:r>
        <w:rPr>
          <w:rFonts w:hint="eastAsia" w:ascii="仿宋" w:hAnsi="仿宋" w:eastAsia="仿宋" w:cs="宋体"/>
          <w:color w:val="000000"/>
          <w:kern w:val="0"/>
          <w:sz w:val="24"/>
          <w:szCs w:val="24"/>
        </w:rPr>
        <w:t>分，学生乙得分为</w:t>
      </w:r>
      <w:r>
        <w:rPr>
          <w:rFonts w:ascii="仿宋" w:hAnsi="仿宋" w:eastAsia="仿宋" w:cs="宋体"/>
          <w:color w:val="000000"/>
          <w:kern w:val="0"/>
          <w:sz w:val="24"/>
          <w:szCs w:val="24"/>
        </w:rPr>
        <w:t>85</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135*25</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15.7</w:t>
      </w:r>
      <w:r>
        <w:rPr>
          <w:rFonts w:hint="eastAsia" w:ascii="仿宋" w:hAnsi="仿宋" w:eastAsia="仿宋" w:cs="宋体"/>
          <w:color w:val="000000"/>
          <w:kern w:val="0"/>
          <w:sz w:val="24"/>
          <w:szCs w:val="24"/>
        </w:rPr>
        <w:t>分</w:t>
      </w:r>
    </w:p>
    <w:p>
      <w:pPr>
        <w:widowControl/>
        <w:shd w:val="clear" w:color="auto" w:fill="FFFFFF"/>
        <w:spacing w:line="360" w:lineRule="auto"/>
        <w:ind w:left="281" w:leftChars="134" w:firstLine="120" w:firstLineChars="50"/>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注：已在获评研究生国家奖学金或学业奖学金时使用过的专业实践加分项目，本次不加分。</w:t>
      </w:r>
    </w:p>
    <w:p>
      <w:pPr>
        <w:widowControl/>
        <w:shd w:val="clear" w:color="auto" w:fill="FFFFFF"/>
        <w:spacing w:line="360" w:lineRule="auto"/>
        <w:ind w:left="281" w:leftChars="134" w:firstLine="120" w:firstLineChars="50"/>
        <w:jc w:val="left"/>
        <w:rPr>
          <w:rFonts w:ascii="仿宋" w:hAnsi="仿宋" w:eastAsia="仿宋" w:cs="宋体"/>
          <w:b/>
          <w:color w:val="000000"/>
          <w:kern w:val="0"/>
          <w:sz w:val="24"/>
          <w:szCs w:val="24"/>
        </w:rPr>
      </w:pPr>
      <w:r>
        <w:rPr>
          <w:rFonts w:ascii="仿宋" w:hAnsi="仿宋" w:eastAsia="仿宋" w:cs="宋体"/>
          <w:b/>
          <w:color w:val="000000"/>
          <w:kern w:val="0"/>
          <w:sz w:val="24"/>
          <w:szCs w:val="24"/>
        </w:rPr>
        <w:t>1.</w:t>
      </w:r>
      <w:r>
        <w:rPr>
          <w:rFonts w:hint="eastAsia" w:ascii="仿宋" w:hAnsi="仿宋" w:eastAsia="仿宋" w:cs="宋体"/>
          <w:b/>
          <w:color w:val="000000"/>
          <w:kern w:val="0"/>
          <w:sz w:val="24"/>
          <w:szCs w:val="24"/>
        </w:rPr>
        <w:t>竞赛</w:t>
      </w:r>
    </w:p>
    <w:p>
      <w:pPr>
        <w:widowControl/>
        <w:shd w:val="clear" w:color="auto" w:fill="FFFFFF"/>
        <w:spacing w:line="360" w:lineRule="auto"/>
        <w:ind w:firstLine="480" w:firstLineChars="200"/>
        <w:jc w:val="left"/>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rPr>
        <w:t>代表我校参加政府组织的国家、省、市级技能大赛、科技创新、创业大赛等竞赛按项目分别得</w:t>
      </w:r>
      <w:r>
        <w:rPr>
          <w:rFonts w:ascii="仿宋" w:hAnsi="仿宋" w:eastAsia="仿宋" w:cs="宋体"/>
          <w:color w:val="000000"/>
          <w:kern w:val="0"/>
          <w:sz w:val="24"/>
          <w:szCs w:val="24"/>
        </w:rPr>
        <w:t>10</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8</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6</w:t>
      </w:r>
      <w:r>
        <w:rPr>
          <w:rFonts w:hint="eastAsia" w:ascii="仿宋" w:hAnsi="仿宋" w:eastAsia="仿宋" w:cs="宋体"/>
          <w:color w:val="000000"/>
          <w:kern w:val="0"/>
          <w:sz w:val="24"/>
          <w:szCs w:val="24"/>
        </w:rPr>
        <w:t>分，获奖项目再追加</w:t>
      </w: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分；参加学校组织的专业技能（如教学）大赛得</w:t>
      </w:r>
      <w:r>
        <w:rPr>
          <w:rFonts w:ascii="仿宋" w:hAnsi="仿宋" w:eastAsia="仿宋" w:cs="宋体"/>
          <w:color w:val="000000"/>
          <w:kern w:val="0"/>
          <w:sz w:val="24"/>
          <w:szCs w:val="24"/>
        </w:rPr>
        <w:t>4</w:t>
      </w:r>
      <w:r>
        <w:rPr>
          <w:rFonts w:hint="eastAsia" w:ascii="仿宋" w:hAnsi="仿宋" w:eastAsia="仿宋" w:cs="宋体"/>
          <w:color w:val="000000"/>
          <w:kern w:val="0"/>
          <w:sz w:val="24"/>
          <w:szCs w:val="24"/>
        </w:rPr>
        <w:t>分（只参加了学院组织的选拔赛得</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分），获</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等奖分别追加</w:t>
      </w: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分。参赛人数超过</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人，个人得分按贡献大小分别计算。代表我校参加非政府主办的国家、省、市级技能大赛、科技创新、创业大赛等竞赛获奖者按</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等级，分别加</w:t>
      </w: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分，参赛人数超过</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人，</w:t>
      </w:r>
      <w:r>
        <w:rPr>
          <w:rFonts w:hint="eastAsia" w:ascii="仿宋" w:hAnsi="仿宋" w:eastAsia="仿宋" w:cs="宋体"/>
          <w:color w:val="000000"/>
          <w:kern w:val="0"/>
          <w:sz w:val="24"/>
          <w:szCs w:val="24"/>
          <w:lang w:val="en-US" w:eastAsia="zh-CN"/>
        </w:rPr>
        <w:t>平均分配</w:t>
      </w: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竞赛名称如下表：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3593"/>
        <w:gridCol w:w="3031"/>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numPr>
                <w:ilvl w:val="0"/>
                <w:numId w:val="0"/>
              </w:numPr>
              <w:ind w:left="0" w:leftChars="0" w:firstLine="0" w:firstLineChars="0"/>
              <w:jc w:val="center"/>
              <w:rPr>
                <w:rFonts w:hint="default"/>
                <w:b/>
                <w:bCs/>
                <w:vertAlign w:val="baseline"/>
                <w:lang w:val="en-US" w:eastAsia="zh-CN"/>
              </w:rPr>
            </w:pPr>
            <w:r>
              <w:rPr>
                <w:rFonts w:hint="eastAsia"/>
                <w:b/>
                <w:bCs/>
                <w:vertAlign w:val="baseline"/>
                <w:lang w:val="en-US" w:eastAsia="zh-CN"/>
              </w:rPr>
              <w:t>序号</w:t>
            </w:r>
          </w:p>
        </w:tc>
        <w:tc>
          <w:tcPr>
            <w:tcW w:w="3593" w:type="dxa"/>
            <w:noWrap w:val="0"/>
            <w:vAlign w:val="center"/>
          </w:tcPr>
          <w:p>
            <w:pPr>
              <w:numPr>
                <w:ilvl w:val="0"/>
                <w:numId w:val="0"/>
              </w:numPr>
              <w:ind w:left="0" w:leftChars="0" w:firstLine="0" w:firstLineChars="0"/>
              <w:jc w:val="center"/>
              <w:rPr>
                <w:rFonts w:hint="default"/>
                <w:b/>
                <w:bCs/>
                <w:vertAlign w:val="baseline"/>
                <w:lang w:val="en-US" w:eastAsia="zh-CN"/>
              </w:rPr>
            </w:pPr>
            <w:r>
              <w:rPr>
                <w:rFonts w:hint="eastAsia"/>
                <w:b/>
                <w:bCs/>
                <w:vertAlign w:val="baseline"/>
                <w:lang w:val="en-US" w:eastAsia="zh-CN"/>
              </w:rPr>
              <w:t>竞赛名称</w:t>
            </w:r>
          </w:p>
        </w:tc>
        <w:tc>
          <w:tcPr>
            <w:tcW w:w="3031" w:type="dxa"/>
            <w:noWrap w:val="0"/>
            <w:vAlign w:val="center"/>
          </w:tcPr>
          <w:p>
            <w:pPr>
              <w:numPr>
                <w:ilvl w:val="0"/>
                <w:numId w:val="0"/>
              </w:numPr>
              <w:ind w:left="0" w:leftChars="0" w:firstLine="0" w:firstLineChars="0"/>
              <w:jc w:val="center"/>
              <w:rPr>
                <w:rFonts w:hint="default"/>
                <w:b/>
                <w:bCs/>
                <w:vertAlign w:val="baseline"/>
                <w:lang w:val="en-US" w:eastAsia="zh-CN"/>
              </w:rPr>
            </w:pPr>
            <w:r>
              <w:rPr>
                <w:rFonts w:hint="eastAsia"/>
                <w:b/>
                <w:bCs/>
                <w:vertAlign w:val="baseline"/>
                <w:lang w:val="en-US" w:eastAsia="zh-CN"/>
              </w:rPr>
              <w:t>主办单位</w:t>
            </w:r>
          </w:p>
        </w:tc>
        <w:tc>
          <w:tcPr>
            <w:tcW w:w="1231" w:type="dxa"/>
            <w:noWrap w:val="0"/>
            <w:vAlign w:val="center"/>
          </w:tcPr>
          <w:p>
            <w:pPr>
              <w:numPr>
                <w:ilvl w:val="0"/>
                <w:numId w:val="0"/>
              </w:numPr>
              <w:ind w:left="0" w:leftChars="0" w:firstLine="0" w:firstLineChars="0"/>
              <w:jc w:val="center"/>
              <w:rPr>
                <w:rFonts w:hint="default"/>
                <w:b/>
                <w:bCs/>
                <w:vertAlign w:val="baseline"/>
                <w:lang w:val="en-US" w:eastAsia="zh-CN"/>
              </w:rPr>
            </w:pPr>
            <w:r>
              <w:rPr>
                <w:rFonts w:hint="eastAsia"/>
                <w:b/>
                <w:bCs/>
                <w:vertAlign w:val="baseline"/>
                <w:lang w:val="en-US" w:eastAsia="zh-CN"/>
              </w:rPr>
              <w:t>竞赛级别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1</w:t>
            </w:r>
          </w:p>
        </w:tc>
        <w:tc>
          <w:tcPr>
            <w:tcW w:w="3593" w:type="dxa"/>
            <w:noWrap w:val="0"/>
            <w:vAlign w:val="center"/>
          </w:tcPr>
          <w:p>
            <w:pPr>
              <w:numPr>
                <w:ilvl w:val="0"/>
                <w:numId w:val="0"/>
              </w:numPr>
              <w:jc w:val="left"/>
              <w:rPr>
                <w:rFonts w:hint="default"/>
                <w:vertAlign w:val="baseline"/>
                <w:lang w:val="en-US" w:eastAsia="zh-CN"/>
              </w:rPr>
            </w:pPr>
            <w:r>
              <w:rPr>
                <w:rFonts w:hint="eastAsia"/>
                <w:vertAlign w:val="baseline"/>
                <w:lang w:val="en-US" w:eastAsia="zh-CN"/>
              </w:rPr>
              <w:t>全国全日制教育硕士教学技能大赛</w:t>
            </w:r>
          </w:p>
        </w:tc>
        <w:tc>
          <w:tcPr>
            <w:tcW w:w="3031" w:type="dxa"/>
            <w:noWrap w:val="0"/>
            <w:vAlign w:val="center"/>
          </w:tcPr>
          <w:p>
            <w:pPr>
              <w:numPr>
                <w:ilvl w:val="0"/>
                <w:numId w:val="0"/>
              </w:numPr>
              <w:jc w:val="left"/>
              <w:rPr>
                <w:rFonts w:hint="default"/>
                <w:vertAlign w:val="baseline"/>
                <w:lang w:val="en-US" w:eastAsia="zh-CN"/>
              </w:rPr>
            </w:pPr>
            <w:r>
              <w:rPr>
                <w:rFonts w:hint="eastAsia"/>
                <w:vertAlign w:val="baseline"/>
                <w:lang w:val="en-US" w:eastAsia="zh-CN"/>
              </w:rPr>
              <w:t>全国教育专业学位研究生教育指导委员会</w:t>
            </w:r>
          </w:p>
        </w:tc>
        <w:tc>
          <w:tcPr>
            <w:tcW w:w="1231"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2</w:t>
            </w:r>
          </w:p>
        </w:tc>
        <w:tc>
          <w:tcPr>
            <w:tcW w:w="3593" w:type="dxa"/>
            <w:noWrap w:val="0"/>
            <w:vAlign w:val="center"/>
          </w:tcPr>
          <w:p>
            <w:pPr>
              <w:numPr>
                <w:ilvl w:val="0"/>
                <w:numId w:val="0"/>
              </w:numPr>
              <w:jc w:val="left"/>
              <w:rPr>
                <w:rFonts w:hint="default"/>
                <w:vertAlign w:val="baseline"/>
                <w:lang w:val="en-US" w:eastAsia="zh-CN"/>
              </w:rPr>
            </w:pPr>
            <w:r>
              <w:rPr>
                <w:rFonts w:hint="eastAsia"/>
                <w:vertAlign w:val="baseline"/>
                <w:lang w:val="en-US" w:eastAsia="zh-CN"/>
              </w:rPr>
              <w:t>全国研究生数学建模竞赛</w:t>
            </w:r>
          </w:p>
        </w:tc>
        <w:tc>
          <w:tcPr>
            <w:tcW w:w="3031" w:type="dxa"/>
            <w:noWrap w:val="0"/>
            <w:vAlign w:val="center"/>
          </w:tcPr>
          <w:p>
            <w:pPr>
              <w:numPr>
                <w:ilvl w:val="0"/>
                <w:numId w:val="0"/>
              </w:numPr>
              <w:jc w:val="left"/>
              <w:rPr>
                <w:rFonts w:hint="default"/>
                <w:vertAlign w:val="baseline"/>
                <w:lang w:val="en-US" w:eastAsia="zh-CN"/>
              </w:rPr>
            </w:pPr>
            <w:r>
              <w:rPr>
                <w:rFonts w:hint="eastAsia"/>
                <w:vertAlign w:val="baseline"/>
                <w:lang w:val="en-US" w:eastAsia="zh-CN"/>
              </w:rPr>
              <w:t>教育部学位与研究生教育发展中心</w:t>
            </w:r>
          </w:p>
        </w:tc>
        <w:tc>
          <w:tcPr>
            <w:tcW w:w="1231"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3</w:t>
            </w:r>
          </w:p>
        </w:tc>
        <w:tc>
          <w:tcPr>
            <w:tcW w:w="3593" w:type="dxa"/>
            <w:noWrap w:val="0"/>
            <w:vAlign w:val="center"/>
          </w:tcPr>
          <w:p>
            <w:pPr>
              <w:numPr>
                <w:ilvl w:val="0"/>
                <w:numId w:val="0"/>
              </w:numPr>
              <w:jc w:val="left"/>
              <w:rPr>
                <w:rFonts w:hint="default"/>
                <w:vertAlign w:val="baseline"/>
                <w:lang w:val="en-US" w:eastAsia="zh-CN"/>
              </w:rPr>
            </w:pPr>
            <w:r>
              <w:rPr>
                <w:rFonts w:hint="eastAsia"/>
                <w:vertAlign w:val="baseline"/>
                <w:lang w:val="en-US" w:eastAsia="zh-CN"/>
              </w:rPr>
              <w:t>中国MPAcc学生案例大赛</w:t>
            </w:r>
          </w:p>
        </w:tc>
        <w:tc>
          <w:tcPr>
            <w:tcW w:w="3031" w:type="dxa"/>
            <w:noWrap w:val="0"/>
            <w:vAlign w:val="center"/>
          </w:tcPr>
          <w:p>
            <w:pPr>
              <w:numPr>
                <w:ilvl w:val="0"/>
                <w:numId w:val="0"/>
              </w:numPr>
              <w:jc w:val="left"/>
              <w:rPr>
                <w:rFonts w:hint="default"/>
                <w:vertAlign w:val="baseline"/>
                <w:lang w:val="en-US" w:eastAsia="zh-CN"/>
              </w:rPr>
            </w:pPr>
            <w:r>
              <w:rPr>
                <w:rFonts w:hint="eastAsia"/>
                <w:vertAlign w:val="baseline"/>
                <w:lang w:val="en-US" w:eastAsia="zh-CN"/>
              </w:rPr>
              <w:t>教育部学位与研究生教育发展中心、全国会计专业学位研究生教育指导委员会</w:t>
            </w:r>
          </w:p>
        </w:tc>
        <w:tc>
          <w:tcPr>
            <w:tcW w:w="1231"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4</w:t>
            </w:r>
          </w:p>
        </w:tc>
        <w:tc>
          <w:tcPr>
            <w:tcW w:w="3593" w:type="dxa"/>
            <w:noWrap w:val="0"/>
            <w:vAlign w:val="center"/>
          </w:tcPr>
          <w:p>
            <w:pPr>
              <w:numPr>
                <w:ilvl w:val="0"/>
                <w:numId w:val="0"/>
              </w:numPr>
              <w:jc w:val="left"/>
              <w:rPr>
                <w:rFonts w:hint="default"/>
                <w:vertAlign w:val="baseline"/>
                <w:lang w:val="en-US" w:eastAsia="zh-CN"/>
              </w:rPr>
            </w:pPr>
            <w:r>
              <w:rPr>
                <w:rFonts w:hint="eastAsia"/>
                <w:vertAlign w:val="baseline"/>
                <w:lang w:val="en-US" w:eastAsia="zh-CN"/>
              </w:rPr>
              <w:t>辽宁省研究生大数据技术创新赛</w:t>
            </w:r>
          </w:p>
        </w:tc>
        <w:tc>
          <w:tcPr>
            <w:tcW w:w="3031" w:type="dxa"/>
            <w:noWrap w:val="0"/>
            <w:vAlign w:val="center"/>
          </w:tcPr>
          <w:p>
            <w:pPr>
              <w:numPr>
                <w:ilvl w:val="0"/>
                <w:numId w:val="0"/>
              </w:numPr>
              <w:jc w:val="left"/>
              <w:rPr>
                <w:rFonts w:hint="default"/>
                <w:vertAlign w:val="baseline"/>
                <w:lang w:val="en-US" w:eastAsia="zh-CN"/>
              </w:rPr>
            </w:pPr>
            <w:r>
              <w:rPr>
                <w:rFonts w:hint="eastAsia"/>
                <w:vertAlign w:val="baseline"/>
                <w:lang w:val="en-US" w:eastAsia="zh-CN"/>
              </w:rPr>
              <w:t>辽宁省教育厅</w:t>
            </w:r>
          </w:p>
        </w:tc>
        <w:tc>
          <w:tcPr>
            <w:tcW w:w="1231"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5</w:t>
            </w:r>
          </w:p>
        </w:tc>
        <w:tc>
          <w:tcPr>
            <w:tcW w:w="3593" w:type="dxa"/>
            <w:noWrap w:val="0"/>
            <w:vAlign w:val="center"/>
          </w:tcPr>
          <w:p>
            <w:pPr>
              <w:numPr>
                <w:ilvl w:val="0"/>
                <w:numId w:val="0"/>
              </w:numPr>
              <w:jc w:val="left"/>
              <w:rPr>
                <w:rFonts w:hint="default"/>
                <w:vertAlign w:val="baseline"/>
                <w:lang w:val="en-US" w:eastAsia="zh-CN"/>
              </w:rPr>
            </w:pPr>
            <w:r>
              <w:rPr>
                <w:rFonts w:hint="eastAsia"/>
                <w:vertAlign w:val="baseline"/>
                <w:lang w:val="en-US" w:eastAsia="zh-CN"/>
              </w:rPr>
              <w:t>辽宁省研究生AUL论文竞赛</w:t>
            </w:r>
          </w:p>
        </w:tc>
        <w:tc>
          <w:tcPr>
            <w:tcW w:w="3031" w:type="dxa"/>
            <w:noWrap w:val="0"/>
            <w:vAlign w:val="center"/>
          </w:tcPr>
          <w:p>
            <w:pPr>
              <w:numPr>
                <w:ilvl w:val="0"/>
                <w:numId w:val="0"/>
              </w:numPr>
              <w:jc w:val="left"/>
              <w:rPr>
                <w:rFonts w:hint="default"/>
                <w:vertAlign w:val="baseline"/>
                <w:lang w:val="en-US" w:eastAsia="zh-CN"/>
              </w:rPr>
            </w:pPr>
            <w:r>
              <w:rPr>
                <w:rFonts w:hint="eastAsia"/>
                <w:vertAlign w:val="baseline"/>
                <w:lang w:val="en-US" w:eastAsia="zh-CN"/>
              </w:rPr>
              <w:t>辽宁省教育厅</w:t>
            </w:r>
          </w:p>
        </w:tc>
        <w:tc>
          <w:tcPr>
            <w:tcW w:w="1231"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6</w:t>
            </w:r>
          </w:p>
        </w:tc>
        <w:tc>
          <w:tcPr>
            <w:tcW w:w="3593" w:type="dxa"/>
            <w:noWrap w:val="0"/>
            <w:vAlign w:val="center"/>
          </w:tcPr>
          <w:p>
            <w:pPr>
              <w:numPr>
                <w:ilvl w:val="0"/>
                <w:numId w:val="0"/>
              </w:numPr>
              <w:jc w:val="left"/>
              <w:rPr>
                <w:rFonts w:hint="default"/>
                <w:vertAlign w:val="baseline"/>
                <w:lang w:val="en-US" w:eastAsia="zh-CN"/>
              </w:rPr>
            </w:pPr>
            <w:r>
              <w:rPr>
                <w:rFonts w:hint="eastAsia"/>
                <w:vertAlign w:val="baseline"/>
                <w:lang w:val="en-US" w:eastAsia="zh-CN"/>
              </w:rPr>
              <w:t>辽宁省研究生数学建模竞赛</w:t>
            </w:r>
          </w:p>
        </w:tc>
        <w:tc>
          <w:tcPr>
            <w:tcW w:w="3031" w:type="dxa"/>
            <w:noWrap w:val="0"/>
            <w:vAlign w:val="center"/>
          </w:tcPr>
          <w:p>
            <w:pPr>
              <w:numPr>
                <w:ilvl w:val="0"/>
                <w:numId w:val="0"/>
              </w:numPr>
              <w:jc w:val="left"/>
              <w:rPr>
                <w:rFonts w:hint="default"/>
                <w:vertAlign w:val="baseline"/>
                <w:lang w:val="en-US" w:eastAsia="zh-CN"/>
              </w:rPr>
            </w:pPr>
            <w:r>
              <w:rPr>
                <w:rFonts w:hint="eastAsia"/>
                <w:vertAlign w:val="baseline"/>
                <w:lang w:val="en-US" w:eastAsia="zh-CN"/>
              </w:rPr>
              <w:t>辽宁省教育厅、辽宁省人民政府学位委员会</w:t>
            </w:r>
          </w:p>
        </w:tc>
        <w:tc>
          <w:tcPr>
            <w:tcW w:w="1231"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省级</w:t>
            </w:r>
          </w:p>
        </w:tc>
      </w:tr>
    </w:tbl>
    <w:p>
      <w:pPr>
        <w:widowControl/>
        <w:shd w:val="clear" w:color="auto" w:fill="FFFFFF"/>
        <w:spacing w:line="360" w:lineRule="auto"/>
        <w:ind w:firstLine="482" w:firstLineChars="200"/>
        <w:jc w:val="left"/>
        <w:rPr>
          <w:rFonts w:hint="default"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lang w:val="en-US" w:eastAsia="zh-CN"/>
        </w:rPr>
        <w:t>2、专业实践</w:t>
      </w:r>
    </w:p>
    <w:p>
      <w:pPr>
        <w:widowControl/>
        <w:shd w:val="clear" w:color="auto" w:fill="FFFFFF"/>
        <w:spacing w:line="360" w:lineRule="auto"/>
        <w:ind w:left="281" w:leftChars="134" w:firstLine="120" w:firstLineChars="50"/>
        <w:jc w:val="left"/>
        <w:rPr>
          <w:rFonts w:hint="eastAsia" w:ascii="仿宋" w:hAnsi="仿宋" w:eastAsia="仿宋" w:cs="宋体"/>
          <w:b/>
          <w:color w:val="000000"/>
          <w:kern w:val="0"/>
          <w:sz w:val="24"/>
          <w:szCs w:val="24"/>
        </w:rPr>
      </w:pPr>
      <w:r>
        <w:rPr>
          <w:rFonts w:hint="eastAsia" w:ascii="仿宋" w:hAnsi="仿宋" w:eastAsia="仿宋" w:cs="宋体"/>
          <w:b w:val="0"/>
          <w:bCs/>
          <w:color w:val="000000"/>
          <w:kern w:val="0"/>
          <w:sz w:val="24"/>
          <w:szCs w:val="24"/>
          <w:lang w:val="en-US" w:eastAsia="zh-CN"/>
        </w:rPr>
        <w:t>参加由学校和学院安排的顶岗实习的加10分，参加见习的加5分。</w:t>
      </w:r>
    </w:p>
    <w:p>
      <w:pPr>
        <w:widowControl/>
        <w:shd w:val="clear" w:color="auto" w:fill="FFFFFF"/>
        <w:spacing w:line="360" w:lineRule="auto"/>
        <w:ind w:left="281" w:leftChars="134" w:firstLine="120" w:firstLineChars="50"/>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（四）科研（最高</w:t>
      </w:r>
      <w:r>
        <w:rPr>
          <w:rFonts w:ascii="仿宋" w:hAnsi="仿宋" w:eastAsia="仿宋" w:cs="宋体"/>
          <w:b/>
          <w:color w:val="000000"/>
          <w:kern w:val="0"/>
          <w:sz w:val="24"/>
          <w:szCs w:val="24"/>
        </w:rPr>
        <w:t>5</w:t>
      </w:r>
      <w:r>
        <w:rPr>
          <w:rFonts w:hint="eastAsia" w:ascii="仿宋" w:hAnsi="仿宋" w:eastAsia="仿宋" w:cs="宋体"/>
          <w:b/>
          <w:color w:val="000000"/>
          <w:kern w:val="0"/>
          <w:sz w:val="24"/>
          <w:szCs w:val="24"/>
        </w:rPr>
        <w:t>分）</w:t>
      </w:r>
    </w:p>
    <w:p>
      <w:pPr>
        <w:widowControl/>
        <w:shd w:val="clear" w:color="auto" w:fill="FFFFFF"/>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科研方面包括学术论文、科研立项、专利等，以下三项满足其一得</w:t>
      </w:r>
      <w:r>
        <w:rPr>
          <w:rFonts w:ascii="仿宋" w:hAnsi="仿宋" w:eastAsia="仿宋" w:cs="宋体"/>
          <w:color w:val="000000"/>
          <w:kern w:val="0"/>
          <w:sz w:val="24"/>
          <w:szCs w:val="24"/>
        </w:rPr>
        <w:t>5</w:t>
      </w:r>
      <w:r>
        <w:rPr>
          <w:rFonts w:hint="eastAsia" w:ascii="仿宋" w:hAnsi="仿宋" w:eastAsia="仿宋" w:cs="宋体"/>
          <w:color w:val="000000"/>
          <w:kern w:val="0"/>
          <w:sz w:val="24"/>
          <w:szCs w:val="24"/>
        </w:rPr>
        <w:t>分。</w:t>
      </w:r>
      <w:r>
        <w:rPr>
          <w:rFonts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注：已在获评研究生国家奖学金或学业奖学金时使用过的科研加分项目，本次不加分。</w:t>
      </w:r>
    </w:p>
    <w:p>
      <w:pPr>
        <w:widowControl/>
        <w:shd w:val="clear" w:color="auto" w:fill="FFFFFF"/>
        <w:spacing w:line="360" w:lineRule="auto"/>
        <w:ind w:firstLine="482" w:firstLineChars="200"/>
        <w:jc w:val="left"/>
        <w:rPr>
          <w:rFonts w:ascii="仿宋" w:hAnsi="仿宋" w:eastAsia="仿宋" w:cs="宋体"/>
          <w:b/>
          <w:color w:val="000000"/>
          <w:kern w:val="0"/>
          <w:sz w:val="24"/>
          <w:szCs w:val="24"/>
        </w:rPr>
      </w:pPr>
      <w:r>
        <w:rPr>
          <w:rFonts w:ascii="仿宋" w:hAnsi="仿宋" w:eastAsia="仿宋" w:cs="宋体"/>
          <w:b/>
          <w:color w:val="000000"/>
          <w:kern w:val="0"/>
          <w:sz w:val="24"/>
          <w:szCs w:val="24"/>
        </w:rPr>
        <w:t>1.</w:t>
      </w:r>
      <w:r>
        <w:rPr>
          <w:rFonts w:hint="eastAsia" w:ascii="仿宋" w:hAnsi="仿宋" w:eastAsia="仿宋" w:cs="宋体"/>
          <w:b/>
          <w:color w:val="000000"/>
          <w:kern w:val="0"/>
          <w:sz w:val="24"/>
          <w:szCs w:val="24"/>
        </w:rPr>
        <w:t>学术论文</w:t>
      </w:r>
    </w:p>
    <w:p>
      <w:pPr>
        <w:widowControl/>
        <w:shd w:val="clear" w:color="auto" w:fill="FFFFFF"/>
        <w:spacing w:line="36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在读期间发表的</w:t>
      </w:r>
      <w:r>
        <w:rPr>
          <w:rFonts w:ascii="仿宋" w:hAnsi="仿宋" w:eastAsia="仿宋" w:cs="宋体"/>
          <w:color w:val="000000"/>
          <w:kern w:val="0"/>
          <w:sz w:val="24"/>
          <w:szCs w:val="24"/>
        </w:rPr>
        <w:t>A</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B</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C</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D</w:t>
      </w:r>
      <w:r>
        <w:rPr>
          <w:rFonts w:hint="eastAsia" w:ascii="仿宋" w:hAnsi="仿宋" w:eastAsia="仿宋" w:cs="宋体"/>
          <w:color w:val="000000"/>
          <w:kern w:val="0"/>
          <w:sz w:val="24"/>
          <w:szCs w:val="24"/>
        </w:rPr>
        <w:t>四类学术论文（见刊，字数在</w:t>
      </w:r>
      <w:r>
        <w:rPr>
          <w:rFonts w:ascii="仿宋" w:hAnsi="仿宋" w:eastAsia="仿宋" w:cs="宋体"/>
          <w:color w:val="000000"/>
          <w:kern w:val="0"/>
          <w:sz w:val="24"/>
          <w:szCs w:val="24"/>
        </w:rPr>
        <w:t>2000</w:t>
      </w:r>
      <w:r>
        <w:rPr>
          <w:rFonts w:hint="eastAsia" w:ascii="仿宋" w:hAnsi="仿宋" w:eastAsia="仿宋" w:cs="宋体"/>
          <w:color w:val="000000"/>
          <w:kern w:val="0"/>
          <w:sz w:val="24"/>
          <w:szCs w:val="24"/>
        </w:rPr>
        <w:t>字以上（包括</w:t>
      </w:r>
      <w:r>
        <w:rPr>
          <w:rFonts w:ascii="仿宋" w:hAnsi="仿宋" w:eastAsia="仿宋" w:cs="宋体"/>
          <w:color w:val="000000"/>
          <w:kern w:val="0"/>
          <w:sz w:val="24"/>
          <w:szCs w:val="24"/>
        </w:rPr>
        <w:t>2000</w:t>
      </w:r>
      <w:r>
        <w:rPr>
          <w:rFonts w:hint="eastAsia" w:ascii="仿宋" w:hAnsi="仿宋" w:eastAsia="仿宋" w:cs="宋体"/>
          <w:color w:val="000000"/>
          <w:kern w:val="0"/>
          <w:sz w:val="24"/>
          <w:szCs w:val="24"/>
        </w:rPr>
        <w:t>字）），第一署名单位为辽宁师范大学，除导师外，前</w:t>
      </w: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位作者有效。论文等级标准参见学校科研处关于期刊等级的认定标准。</w:t>
      </w:r>
    </w:p>
    <w:p>
      <w:pPr>
        <w:widowControl/>
        <w:shd w:val="clear" w:color="auto" w:fill="FFFFFF"/>
        <w:spacing w:line="360" w:lineRule="auto"/>
        <w:ind w:left="281" w:leftChars="134" w:firstLine="241" w:firstLineChars="100"/>
        <w:jc w:val="left"/>
        <w:rPr>
          <w:rFonts w:ascii="仿宋" w:hAnsi="仿宋" w:eastAsia="仿宋" w:cs="宋体"/>
          <w:b/>
          <w:color w:val="000000"/>
          <w:kern w:val="0"/>
          <w:sz w:val="24"/>
          <w:szCs w:val="24"/>
        </w:rPr>
      </w:pPr>
      <w:r>
        <w:rPr>
          <w:rFonts w:ascii="仿宋" w:hAnsi="仿宋" w:eastAsia="仿宋" w:cs="宋体"/>
          <w:b/>
          <w:color w:val="000000"/>
          <w:kern w:val="0"/>
          <w:sz w:val="24"/>
          <w:szCs w:val="24"/>
        </w:rPr>
        <w:t>2.</w:t>
      </w:r>
      <w:r>
        <w:rPr>
          <w:rFonts w:hint="eastAsia" w:ascii="仿宋" w:hAnsi="仿宋" w:eastAsia="仿宋" w:cs="宋体"/>
          <w:b/>
          <w:color w:val="000000"/>
          <w:kern w:val="0"/>
          <w:sz w:val="24"/>
          <w:szCs w:val="24"/>
        </w:rPr>
        <w:t>科研立项：</w:t>
      </w:r>
    </w:p>
    <w:p>
      <w:pPr>
        <w:widowControl/>
        <w:shd w:val="clear" w:color="auto" w:fill="FFFFFF"/>
        <w:spacing w:line="360" w:lineRule="auto"/>
        <w:ind w:firstLine="480" w:firstLineChars="200"/>
        <w:jc w:val="left"/>
        <w:rPr>
          <w:rFonts w:ascii="仿宋" w:hAnsi="仿宋" w:eastAsia="仿宋" w:cs="宋体"/>
          <w:color w:val="000000"/>
          <w:kern w:val="0"/>
          <w:sz w:val="24"/>
          <w:szCs w:val="24"/>
        </w:rPr>
      </w:pP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参加国家、省（部）、市级科研课题获批者（含教育厅），在项目合同书（或申请书）、结题证书上，排名</w:t>
      </w:r>
      <w:r>
        <w:rPr>
          <w:rFonts w:ascii="仿宋" w:hAnsi="仿宋" w:eastAsia="仿宋" w:cs="宋体"/>
          <w:color w:val="000000"/>
          <w:kern w:val="0"/>
          <w:sz w:val="24"/>
          <w:szCs w:val="24"/>
        </w:rPr>
        <w:t>5</w:t>
      </w:r>
      <w:r>
        <w:rPr>
          <w:rFonts w:hint="eastAsia" w:ascii="仿宋" w:hAnsi="仿宋" w:eastAsia="仿宋" w:cs="宋体"/>
          <w:color w:val="000000"/>
          <w:kern w:val="0"/>
          <w:sz w:val="24"/>
          <w:szCs w:val="24"/>
        </w:rPr>
        <w:t>名以内；</w:t>
      </w:r>
    </w:p>
    <w:p>
      <w:pPr>
        <w:widowControl/>
        <w:shd w:val="clear" w:color="auto" w:fill="FFFFFF"/>
        <w:spacing w:line="360" w:lineRule="auto"/>
        <w:ind w:left="281" w:leftChars="134" w:firstLine="120" w:firstLineChars="50"/>
        <w:jc w:val="left"/>
        <w:rPr>
          <w:rFonts w:ascii="仿宋" w:hAnsi="仿宋" w:eastAsia="仿宋" w:cs="宋体"/>
          <w:color w:val="000000"/>
          <w:kern w:val="0"/>
          <w:sz w:val="24"/>
          <w:szCs w:val="24"/>
        </w:rPr>
      </w:pP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主持学校研究生创新基金资助项目；</w:t>
      </w:r>
    </w:p>
    <w:p>
      <w:pPr>
        <w:widowControl/>
        <w:shd w:val="clear" w:color="auto" w:fill="FFFFFF"/>
        <w:spacing w:line="360" w:lineRule="auto"/>
        <w:ind w:left="281" w:leftChars="134" w:firstLine="120" w:firstLineChars="50"/>
        <w:jc w:val="left"/>
        <w:rPr>
          <w:rFonts w:ascii="仿宋" w:hAnsi="仿宋" w:eastAsia="仿宋"/>
          <w:bCs/>
          <w:color w:val="000000"/>
          <w:sz w:val="24"/>
          <w:szCs w:val="24"/>
        </w:rPr>
      </w:pP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科研项目等级存在争议的，由学院学术委员会参照科</w:t>
      </w:r>
      <w:r>
        <w:rPr>
          <w:rFonts w:hint="eastAsia" w:ascii="仿宋" w:hAnsi="仿宋" w:eastAsia="仿宋"/>
          <w:bCs/>
          <w:color w:val="000000"/>
          <w:sz w:val="24"/>
          <w:szCs w:val="24"/>
        </w:rPr>
        <w:t>研处规定认定。</w:t>
      </w:r>
    </w:p>
    <w:p>
      <w:pPr>
        <w:widowControl/>
        <w:shd w:val="clear" w:color="auto" w:fill="FFFFFF"/>
        <w:spacing w:line="360" w:lineRule="auto"/>
        <w:ind w:firstLine="482" w:firstLineChars="200"/>
        <w:jc w:val="left"/>
        <w:rPr>
          <w:rFonts w:ascii="仿宋" w:hAnsi="仿宋" w:eastAsia="仿宋"/>
          <w:b/>
          <w:bCs/>
          <w:color w:val="000000"/>
          <w:sz w:val="24"/>
          <w:szCs w:val="24"/>
        </w:rPr>
      </w:pPr>
      <w:r>
        <w:rPr>
          <w:rFonts w:ascii="仿宋" w:hAnsi="仿宋" w:eastAsia="仿宋"/>
          <w:b/>
          <w:bCs/>
          <w:color w:val="000000"/>
          <w:sz w:val="24"/>
          <w:szCs w:val="24"/>
        </w:rPr>
        <w:t>3.</w:t>
      </w:r>
      <w:r>
        <w:rPr>
          <w:rFonts w:hint="eastAsia" w:ascii="仿宋" w:hAnsi="仿宋" w:eastAsia="仿宋"/>
          <w:b/>
          <w:bCs/>
          <w:color w:val="000000"/>
          <w:sz w:val="24"/>
          <w:szCs w:val="24"/>
        </w:rPr>
        <w:t>发明专利</w:t>
      </w:r>
    </w:p>
    <w:p>
      <w:pPr>
        <w:widowControl/>
        <w:shd w:val="clear" w:color="auto" w:fill="FFFFFF"/>
        <w:spacing w:line="360" w:lineRule="auto"/>
        <w:ind w:firstLine="480" w:firstLineChars="200"/>
        <w:jc w:val="left"/>
        <w:rPr>
          <w:color w:val="000000"/>
          <w:sz w:val="24"/>
          <w:szCs w:val="24"/>
        </w:rPr>
      </w:pPr>
      <w:r>
        <w:rPr>
          <w:rFonts w:hint="eastAsia" w:ascii="仿宋" w:hAnsi="仿宋" w:eastAsia="仿宋"/>
          <w:bCs/>
          <w:color w:val="000000"/>
          <w:sz w:val="24"/>
          <w:szCs w:val="24"/>
        </w:rPr>
        <w:t>与专业相关的发明专利授权；实用新型专利授权，获外观设计专利授权；软件著作权授权者。</w:t>
      </w:r>
    </w:p>
    <w:p>
      <w:pPr>
        <w:widowControl/>
        <w:shd w:val="clear" w:color="auto" w:fill="FFFFFF"/>
        <w:spacing w:line="360" w:lineRule="auto"/>
        <w:jc w:val="left"/>
        <w:rPr>
          <w:color w:val="000000"/>
          <w:sz w:val="24"/>
          <w:szCs w:val="24"/>
        </w:rPr>
      </w:pPr>
    </w:p>
    <w:p>
      <w:pPr>
        <w:widowControl/>
        <w:numPr>
          <w:ilvl w:val="0"/>
          <w:numId w:val="3"/>
        </w:numPr>
        <w:shd w:val="clear" w:color="auto" w:fill="FFFFFF"/>
        <w:spacing w:line="360" w:lineRule="auto"/>
        <w:jc w:val="left"/>
        <w:rPr>
          <w:rFonts w:hint="eastAsia" w:ascii="黑体" w:hAnsi="黑体" w:eastAsia="黑体"/>
          <w:b/>
          <w:color w:val="000000"/>
          <w:sz w:val="24"/>
          <w:szCs w:val="24"/>
        </w:rPr>
      </w:pPr>
      <w:r>
        <w:rPr>
          <w:rFonts w:hint="eastAsia" w:ascii="黑体" w:hAnsi="黑体" w:eastAsia="黑体"/>
          <w:b/>
          <w:color w:val="000000"/>
          <w:sz w:val="24"/>
          <w:szCs w:val="24"/>
        </w:rPr>
        <w:t>本办法由数学学院学术委员会负责解释。</w:t>
      </w:r>
    </w:p>
    <w:p>
      <w:pPr>
        <w:widowControl/>
        <w:numPr>
          <w:ilvl w:val="0"/>
          <w:numId w:val="0"/>
        </w:numPr>
        <w:shd w:val="clear" w:color="auto" w:fill="FFFFFF"/>
        <w:spacing w:line="360" w:lineRule="auto"/>
        <w:jc w:val="left"/>
        <w:rPr>
          <w:rFonts w:hint="eastAsia" w:ascii="黑体" w:hAnsi="黑体" w:eastAsia="黑体"/>
          <w:b/>
          <w:color w:val="000000"/>
          <w:sz w:val="24"/>
          <w:szCs w:val="24"/>
        </w:rPr>
      </w:pPr>
    </w:p>
    <w:p>
      <w:pPr>
        <w:widowControl/>
        <w:numPr>
          <w:ilvl w:val="0"/>
          <w:numId w:val="0"/>
        </w:numPr>
        <w:shd w:val="clear" w:color="auto" w:fill="FFFFFF"/>
        <w:spacing w:line="360" w:lineRule="auto"/>
        <w:jc w:val="left"/>
        <w:rPr>
          <w:rFonts w:hint="eastAsia" w:ascii="黑体" w:hAnsi="黑体" w:eastAsia="黑体"/>
          <w:b/>
          <w:color w:val="000000"/>
          <w:sz w:val="24"/>
          <w:szCs w:val="24"/>
        </w:rPr>
      </w:pPr>
    </w:p>
    <w:p>
      <w:pPr>
        <w:widowControl/>
        <w:numPr>
          <w:ilvl w:val="0"/>
          <w:numId w:val="0"/>
        </w:numPr>
        <w:shd w:val="clear" w:color="auto" w:fill="FFFFFF"/>
        <w:spacing w:line="360" w:lineRule="auto"/>
        <w:jc w:val="left"/>
        <w:rPr>
          <w:rFonts w:hint="eastAsia" w:ascii="黑体" w:hAnsi="黑体" w:eastAsia="黑体"/>
          <w:b/>
          <w:color w:val="000000"/>
          <w:sz w:val="24"/>
          <w:szCs w:val="24"/>
        </w:rPr>
      </w:pPr>
    </w:p>
    <w:p>
      <w:pPr>
        <w:widowControl/>
        <w:numPr>
          <w:ilvl w:val="0"/>
          <w:numId w:val="0"/>
        </w:numPr>
        <w:shd w:val="clear" w:color="auto" w:fill="FFFFFF"/>
        <w:spacing w:line="360" w:lineRule="auto"/>
        <w:jc w:val="left"/>
        <w:rPr>
          <w:rFonts w:hint="eastAsia" w:ascii="黑体" w:hAnsi="黑体" w:eastAsia="黑体"/>
          <w:b/>
          <w:color w:val="000000"/>
          <w:sz w:val="24"/>
          <w:szCs w:val="24"/>
        </w:rPr>
      </w:pPr>
    </w:p>
    <w:p>
      <w:pPr>
        <w:widowControl/>
        <w:numPr>
          <w:ilvl w:val="0"/>
          <w:numId w:val="0"/>
        </w:numPr>
        <w:shd w:val="clear" w:color="auto" w:fill="FFFFFF"/>
        <w:spacing w:line="360" w:lineRule="auto"/>
        <w:jc w:val="left"/>
        <w:rPr>
          <w:rFonts w:hint="eastAsia" w:ascii="黑体" w:hAnsi="黑体" w:eastAsia="黑体"/>
          <w:b w:val="0"/>
          <w:bCs/>
          <w:color w:val="000000"/>
          <w:sz w:val="24"/>
          <w:szCs w:val="24"/>
          <w:lang w:val="en-US" w:eastAsia="zh-CN"/>
        </w:rPr>
      </w:pPr>
      <w:r>
        <w:rPr>
          <w:rFonts w:hint="eastAsia" w:ascii="黑体" w:hAnsi="黑体" w:eastAsia="黑体"/>
          <w:b/>
          <w:color w:val="000000"/>
          <w:sz w:val="24"/>
          <w:szCs w:val="24"/>
          <w:lang w:val="en-US" w:eastAsia="zh-CN"/>
        </w:rPr>
        <w:t xml:space="preserve">                                                    </w:t>
      </w:r>
      <w:r>
        <w:rPr>
          <w:rFonts w:hint="eastAsia" w:ascii="黑体" w:hAnsi="黑体" w:eastAsia="黑体"/>
          <w:b w:val="0"/>
          <w:bCs/>
          <w:color w:val="000000"/>
          <w:sz w:val="24"/>
          <w:szCs w:val="24"/>
          <w:lang w:val="en-US" w:eastAsia="zh-CN"/>
        </w:rPr>
        <w:t xml:space="preserve"> 数学学院</w:t>
      </w:r>
    </w:p>
    <w:p>
      <w:pPr>
        <w:widowControl/>
        <w:numPr>
          <w:ilvl w:val="0"/>
          <w:numId w:val="0"/>
        </w:numPr>
        <w:shd w:val="clear" w:color="auto" w:fill="FFFFFF"/>
        <w:spacing w:line="360" w:lineRule="auto"/>
        <w:jc w:val="left"/>
        <w:rPr>
          <w:rFonts w:hint="default" w:ascii="黑体" w:hAnsi="黑体" w:eastAsia="黑体"/>
          <w:b w:val="0"/>
          <w:bCs/>
          <w:color w:val="000000"/>
          <w:sz w:val="24"/>
          <w:szCs w:val="24"/>
          <w:lang w:val="en-US" w:eastAsia="zh-CN"/>
        </w:rPr>
      </w:pPr>
      <w:r>
        <w:rPr>
          <w:rFonts w:hint="eastAsia" w:ascii="黑体" w:hAnsi="黑体" w:eastAsia="黑体"/>
          <w:b w:val="0"/>
          <w:bCs/>
          <w:color w:val="000000"/>
          <w:sz w:val="24"/>
          <w:szCs w:val="24"/>
          <w:lang w:val="en-US" w:eastAsia="zh-CN"/>
        </w:rPr>
        <w:t xml:space="preserve">                                                     2020</w:t>
      </w:r>
      <w:bookmarkStart w:id="14" w:name="_GoBack"/>
      <w:bookmarkEnd w:id="14"/>
      <w:r>
        <w:rPr>
          <w:rFonts w:hint="eastAsia" w:ascii="黑体" w:hAnsi="黑体" w:eastAsia="黑体"/>
          <w:b w:val="0"/>
          <w:bCs/>
          <w:color w:val="000000"/>
          <w:sz w:val="24"/>
          <w:szCs w:val="24"/>
          <w:lang w:val="en-US" w:eastAsia="zh-CN"/>
        </w:rPr>
        <w:t>.11.18</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9</w:t>
    </w:r>
    <w:r>
      <w:rPr>
        <w:rStyle w:val="12"/>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C4677"/>
    <w:multiLevelType w:val="multilevel"/>
    <w:tmpl w:val="1BAC4677"/>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4FDFC72F"/>
    <w:multiLevelType w:val="singleLevel"/>
    <w:tmpl w:val="4FDFC72F"/>
    <w:lvl w:ilvl="0" w:tentative="0">
      <w:start w:val="3"/>
      <w:numFmt w:val="chineseCounting"/>
      <w:suff w:val="nothing"/>
      <w:lvlText w:val="%1、"/>
      <w:lvlJc w:val="left"/>
      <w:rPr>
        <w:rFonts w:hint="eastAsia"/>
      </w:rPr>
    </w:lvl>
  </w:abstractNum>
  <w:abstractNum w:abstractNumId="2">
    <w:nsid w:val="545B7D0A"/>
    <w:multiLevelType w:val="multilevel"/>
    <w:tmpl w:val="545B7D0A"/>
    <w:lvl w:ilvl="0" w:tentative="0">
      <w:start w:val="1"/>
      <w:numFmt w:val="decimal"/>
      <w:lvlText w:val="%1、"/>
      <w:lvlJc w:val="left"/>
      <w:pPr>
        <w:tabs>
          <w:tab w:val="left" w:pos="360"/>
        </w:tabs>
        <w:ind w:left="360" w:hanging="360"/>
      </w:pPr>
      <w:rPr>
        <w:rFonts w:hint="default" w:cs="Times New Roman"/>
      </w:rPr>
    </w:lvl>
    <w:lvl w:ilvl="1" w:tentative="0">
      <w:start w:val="4"/>
      <w:numFmt w:val="japaneseCounting"/>
      <w:lvlText w:val="%2、"/>
      <w:lvlJc w:val="left"/>
      <w:pPr>
        <w:tabs>
          <w:tab w:val="left" w:pos="840"/>
        </w:tabs>
        <w:ind w:left="840" w:hanging="4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A58"/>
    <w:rsid w:val="00095C37"/>
    <w:rsid w:val="000A3879"/>
    <w:rsid w:val="000B725F"/>
    <w:rsid w:val="000C5FFE"/>
    <w:rsid w:val="0012322B"/>
    <w:rsid w:val="00125EED"/>
    <w:rsid w:val="002276FC"/>
    <w:rsid w:val="002344C1"/>
    <w:rsid w:val="002B14C1"/>
    <w:rsid w:val="002C2ECC"/>
    <w:rsid w:val="002C457F"/>
    <w:rsid w:val="002E6A80"/>
    <w:rsid w:val="00306744"/>
    <w:rsid w:val="00387390"/>
    <w:rsid w:val="003B7784"/>
    <w:rsid w:val="003C170E"/>
    <w:rsid w:val="004109DF"/>
    <w:rsid w:val="004C076F"/>
    <w:rsid w:val="00524F9B"/>
    <w:rsid w:val="00535D07"/>
    <w:rsid w:val="00565A36"/>
    <w:rsid w:val="00580BA8"/>
    <w:rsid w:val="00584E66"/>
    <w:rsid w:val="005B1172"/>
    <w:rsid w:val="005C511C"/>
    <w:rsid w:val="005C6E8C"/>
    <w:rsid w:val="00674B12"/>
    <w:rsid w:val="007547ED"/>
    <w:rsid w:val="00771AB1"/>
    <w:rsid w:val="00773470"/>
    <w:rsid w:val="007A1E21"/>
    <w:rsid w:val="00821682"/>
    <w:rsid w:val="008338FE"/>
    <w:rsid w:val="00850049"/>
    <w:rsid w:val="00855DC5"/>
    <w:rsid w:val="008B25B0"/>
    <w:rsid w:val="008F3EE4"/>
    <w:rsid w:val="00934553"/>
    <w:rsid w:val="00966FE9"/>
    <w:rsid w:val="009808B4"/>
    <w:rsid w:val="009B2AEF"/>
    <w:rsid w:val="009D6476"/>
    <w:rsid w:val="00A948D2"/>
    <w:rsid w:val="00BD4D84"/>
    <w:rsid w:val="00BD6A58"/>
    <w:rsid w:val="00CC678A"/>
    <w:rsid w:val="00CC75BC"/>
    <w:rsid w:val="00CD3A64"/>
    <w:rsid w:val="00CE22C2"/>
    <w:rsid w:val="00CE6468"/>
    <w:rsid w:val="00D614CA"/>
    <w:rsid w:val="00D73435"/>
    <w:rsid w:val="00DC07CF"/>
    <w:rsid w:val="00E00890"/>
    <w:rsid w:val="00E150FA"/>
    <w:rsid w:val="00E42ACF"/>
    <w:rsid w:val="00F13C4E"/>
    <w:rsid w:val="00F90B13"/>
    <w:rsid w:val="00F95D33"/>
    <w:rsid w:val="013A7B4A"/>
    <w:rsid w:val="05900D63"/>
    <w:rsid w:val="05C57FEB"/>
    <w:rsid w:val="083F4308"/>
    <w:rsid w:val="0A2D02A3"/>
    <w:rsid w:val="0DDA5B1C"/>
    <w:rsid w:val="100F6AB6"/>
    <w:rsid w:val="129E7445"/>
    <w:rsid w:val="1349091F"/>
    <w:rsid w:val="139E528E"/>
    <w:rsid w:val="148E2C1C"/>
    <w:rsid w:val="1B36771E"/>
    <w:rsid w:val="1DA51E43"/>
    <w:rsid w:val="1E554357"/>
    <w:rsid w:val="22B74B52"/>
    <w:rsid w:val="2E3914EB"/>
    <w:rsid w:val="31C968A9"/>
    <w:rsid w:val="32552620"/>
    <w:rsid w:val="32E146E1"/>
    <w:rsid w:val="34383E73"/>
    <w:rsid w:val="36165E82"/>
    <w:rsid w:val="394375F0"/>
    <w:rsid w:val="3BE06934"/>
    <w:rsid w:val="3F5C65F3"/>
    <w:rsid w:val="43AB2591"/>
    <w:rsid w:val="4472462D"/>
    <w:rsid w:val="4E5E76A9"/>
    <w:rsid w:val="4E864666"/>
    <w:rsid w:val="517F126F"/>
    <w:rsid w:val="569542EB"/>
    <w:rsid w:val="56CE5F38"/>
    <w:rsid w:val="5D401419"/>
    <w:rsid w:val="5F5D5DA4"/>
    <w:rsid w:val="665D1A0D"/>
    <w:rsid w:val="6896136B"/>
    <w:rsid w:val="69B4606F"/>
    <w:rsid w:val="72692CA8"/>
    <w:rsid w:val="750B1B1E"/>
    <w:rsid w:val="75244406"/>
    <w:rsid w:val="755F536C"/>
    <w:rsid w:val="768F0960"/>
    <w:rsid w:val="7EC86A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5"/>
    <w:qFormat/>
    <w:uiPriority w:val="99"/>
    <w:pPr>
      <w:keepNext/>
      <w:keepLines/>
      <w:spacing w:before="260" w:after="260" w:line="416" w:lineRule="auto"/>
      <w:outlineLvl w:val="2"/>
    </w:pPr>
    <w:rPr>
      <w:b/>
      <w:bCs/>
      <w:sz w:val="32"/>
      <w:szCs w:val="32"/>
    </w:rPr>
  </w:style>
  <w:style w:type="paragraph" w:styleId="3">
    <w:name w:val="heading 4"/>
    <w:basedOn w:val="1"/>
    <w:next w:val="1"/>
    <w:link w:val="16"/>
    <w:qFormat/>
    <w:uiPriority w:val="99"/>
    <w:pPr>
      <w:keepNext/>
      <w:keepLines/>
      <w:spacing w:before="280" w:after="290" w:line="376" w:lineRule="auto"/>
      <w:outlineLvl w:val="3"/>
    </w:pPr>
    <w:rPr>
      <w:rFonts w:ascii="Cambria" w:hAnsi="Cambria"/>
      <w:b/>
      <w:bCs/>
      <w:sz w:val="28"/>
      <w:szCs w:val="28"/>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7"/>
    <w:qFormat/>
    <w:uiPriority w:val="99"/>
    <w:rPr>
      <w:rFonts w:ascii="宋体" w:hAnsi="Courier New" w:cs="Courier New"/>
      <w:szCs w:val="21"/>
    </w:rPr>
  </w:style>
  <w:style w:type="paragraph" w:styleId="5">
    <w:name w:val="footer"/>
    <w:basedOn w:val="1"/>
    <w:link w:val="19"/>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99"/>
    <w:rPr>
      <w:rFonts w:cs="Times New Roman"/>
      <w:b/>
    </w:rPr>
  </w:style>
  <w:style w:type="character" w:styleId="12">
    <w:name w:val="page number"/>
    <w:basedOn w:val="10"/>
    <w:qFormat/>
    <w:uiPriority w:val="99"/>
    <w:rPr>
      <w:rFonts w:cs="Times New Roman"/>
    </w:rPr>
  </w:style>
  <w:style w:type="character" w:styleId="13">
    <w:name w:val="FollowedHyperlink"/>
    <w:basedOn w:val="10"/>
    <w:qFormat/>
    <w:uiPriority w:val="99"/>
    <w:rPr>
      <w:rFonts w:cs="Times New Roman"/>
      <w:color w:val="800080"/>
      <w:u w:val="single"/>
    </w:rPr>
  </w:style>
  <w:style w:type="character" w:styleId="14">
    <w:name w:val="Hyperlink"/>
    <w:basedOn w:val="10"/>
    <w:semiHidden/>
    <w:qFormat/>
    <w:uiPriority w:val="99"/>
    <w:rPr>
      <w:rFonts w:cs="Times New Roman"/>
      <w:color w:val="333333"/>
      <w:sz w:val="18"/>
      <w:szCs w:val="18"/>
      <w:u w:val="none"/>
    </w:rPr>
  </w:style>
  <w:style w:type="character" w:customStyle="1" w:styleId="15">
    <w:name w:val="Heading 3 Char"/>
    <w:basedOn w:val="10"/>
    <w:link w:val="2"/>
    <w:qFormat/>
    <w:locked/>
    <w:uiPriority w:val="99"/>
    <w:rPr>
      <w:rFonts w:ascii="Calibri" w:hAnsi="Calibri" w:eastAsia="宋体" w:cs="Times New Roman"/>
      <w:b/>
      <w:bCs/>
      <w:sz w:val="32"/>
      <w:szCs w:val="32"/>
    </w:rPr>
  </w:style>
  <w:style w:type="character" w:customStyle="1" w:styleId="16">
    <w:name w:val="Heading 4 Char"/>
    <w:basedOn w:val="10"/>
    <w:link w:val="3"/>
    <w:qFormat/>
    <w:locked/>
    <w:uiPriority w:val="99"/>
    <w:rPr>
      <w:rFonts w:ascii="Cambria" w:hAnsi="Cambria" w:eastAsia="宋体" w:cs="Times New Roman"/>
      <w:b/>
      <w:bCs/>
      <w:sz w:val="28"/>
      <w:szCs w:val="28"/>
    </w:rPr>
  </w:style>
  <w:style w:type="character" w:customStyle="1" w:styleId="17">
    <w:name w:val="Plain Text Char"/>
    <w:basedOn w:val="10"/>
    <w:link w:val="4"/>
    <w:qFormat/>
    <w:locked/>
    <w:uiPriority w:val="99"/>
    <w:rPr>
      <w:rFonts w:ascii="宋体" w:hAnsi="Courier New" w:eastAsia="宋体" w:cs="Courier New"/>
      <w:sz w:val="21"/>
      <w:szCs w:val="21"/>
    </w:rPr>
  </w:style>
  <w:style w:type="character" w:customStyle="1" w:styleId="18">
    <w:name w:val="Header Char"/>
    <w:basedOn w:val="10"/>
    <w:link w:val="6"/>
    <w:semiHidden/>
    <w:qFormat/>
    <w:locked/>
    <w:uiPriority w:val="99"/>
    <w:rPr>
      <w:rFonts w:cs="Times New Roman"/>
      <w:sz w:val="18"/>
      <w:szCs w:val="18"/>
    </w:rPr>
  </w:style>
  <w:style w:type="character" w:customStyle="1" w:styleId="19">
    <w:name w:val="Footer Char"/>
    <w:basedOn w:val="10"/>
    <w:link w:val="5"/>
    <w:semiHidden/>
    <w:qFormat/>
    <w:locked/>
    <w:uiPriority w:val="99"/>
    <w:rPr>
      <w:rFonts w:cs="Times New Roman"/>
      <w:sz w:val="18"/>
      <w:szCs w:val="18"/>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9</Pages>
  <Words>912</Words>
  <Characters>5199</Characters>
  <Lines>0</Lines>
  <Paragraphs>0</Paragraphs>
  <TotalTime>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2017-09-21T06:10:00Z</dcterms:created>
  <dc:creator>ho</dc:creator>
  <cp:lastModifiedBy>math</cp:lastModifiedBy>
  <dcterms:modified xsi:type="dcterms:W3CDTF">2020-11-17T23:39:05Z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